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png" ContentType="image/png"/>
  <Override PartName="/word/media/image2.png" ContentType="image/png"/>
  <Override PartName="/word/media/image3.png" ContentType="image/png"/>
  <Override PartName="/word/media/image15.wmf" ContentType="image/x-wmf"/>
  <Override PartName="/word/media/image4.png" ContentType="image/png"/>
  <Override PartName="/word/media/image6.jpeg" ContentType="image/jpeg"/>
  <Override PartName="/word/media/image16.wmf" ContentType="image/x-wmf"/>
  <Override PartName="/word/media/image5.png" ContentType="image/png"/>
  <Override PartName="/word/media/image7.png" ContentType="image/png"/>
  <Override PartName="/word/media/image18.wmf" ContentType="image/x-wmf"/>
  <Override PartName="/word/media/image8.png" ContentType="image/png"/>
  <Override PartName="/word/media/image19.wmf" ContentType="image/x-wmf"/>
  <Override PartName="/word/media/image23.jpeg" ContentType="image/jpeg"/>
  <Override PartName="/word/media/image9.png" ContentType="image/png"/>
  <Override PartName="/word/media/image10.jpeg" ContentType="image/jpeg"/>
  <Override PartName="/word/media/image11.png" ContentType="image/png"/>
  <Override PartName="/word/media/image12.jpeg" ContentType="image/jpeg"/>
  <Override PartName="/word/media/image13.png" ContentType="image/png"/>
  <Override PartName="/word/media/image14.png" ContentType="image/png"/>
  <Override PartName="/word/media/image17.wmf" ContentType="image/x-wmf"/>
  <Override PartName="/word/media/image20.jpeg" ContentType="image/jpeg"/>
  <Override PartName="/word/media/image21.jpeg" ContentType="image/jpeg"/>
  <Override PartName="/word/media/image22.jpeg" ContentType="image/jpeg"/>
  <Override PartName="/word/media/image24.png" ContentType="image/png"/>
  <Override PartName="/word/footer4.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line="326" w:before="0" w:after="0"/>
        <w:ind w:left="0" w:firstLine="708"/>
        <w:rPr>
          <w:rFonts w:ascii="Arial" w:hAnsi="Arial" w:cs="Arial"/>
          <w:sz w:val="48"/>
          <w:szCs w:val="48"/>
        </w:rPr>
      </w:pPr>
      <w:r>
        <w:rPr>
          <w:rFonts w:cs="Arial" w:ascii="Arial" w:hAnsi="Arial"/>
          <w:sz w:val="48"/>
          <w:szCs w:val="48"/>
        </w:rPr>
        <w:t>DÉPARTEMENT DU VAL D’OISE</w:t>
      </w:r>
    </w:p>
    <w:p>
      <w:pPr>
        <w:pStyle w:val="Normal"/>
        <w:spacing w:lineRule="auto" w:line="326" w:before="0" w:after="0"/>
        <w:ind w:left="0" w:hanging="0"/>
        <w:jc w:val="center"/>
        <w:rPr>
          <w:rFonts w:ascii="Arial" w:hAnsi="Arial" w:cs="Arial"/>
          <w:sz w:val="44"/>
          <w:szCs w:val="44"/>
        </w:rPr>
      </w:pPr>
      <w:r>
        <w:rPr>
          <w:rFonts w:cs="Arial" w:ascii="Arial" w:hAnsi="Arial"/>
          <w:sz w:val="36"/>
          <w:szCs w:val="36"/>
        </w:rPr>
        <w:t>COMMUNE DE GONESSE</w:t>
      </w:r>
    </w:p>
    <w:p>
      <w:pPr>
        <w:pStyle w:val="Normal"/>
        <w:spacing w:lineRule="auto" w:line="259" w:before="0" w:after="0"/>
        <w:ind w:left="3840" w:hanging="0"/>
        <w:rPr>
          <w:rFonts w:ascii="Arial" w:hAnsi="Arial" w:cs="Arial"/>
        </w:rPr>
      </w:pPr>
      <w:r>
        <w:rPr>
          <w:rFonts w:cs="Arial" w:ascii="Arial" w:hAnsi="Arial"/>
          <w:sz w:val="48"/>
        </w:rPr>
        <w:t xml:space="preserve">******* </w:t>
      </w:r>
    </w:p>
    <w:p>
      <w:pPr>
        <w:pStyle w:val="Normal"/>
        <w:spacing w:lineRule="auto" w:line="259" w:before="0" w:after="0"/>
        <w:ind w:left="0" w:hanging="0"/>
        <w:rPr>
          <w:rFonts w:ascii="Arial" w:hAnsi="Arial" w:cs="Arial"/>
          <w:sz w:val="48"/>
          <w:szCs w:val="48"/>
        </w:rPr>
      </w:pPr>
      <w:r>
        <w:rPr>
          <w:rFonts w:cs="Arial" w:ascii="Arial" w:hAnsi="Arial"/>
          <w:sz w:val="48"/>
          <w:szCs w:val="48"/>
        </w:rPr>
        <w:t xml:space="preserve">Rapport d’enquêtes publiques conjointes </w:t>
      </w:r>
    </w:p>
    <w:p>
      <w:pPr>
        <w:pStyle w:val="Normal"/>
        <w:spacing w:lineRule="auto" w:line="264" w:before="0" w:after="2908"/>
        <w:ind w:left="3874" w:hanging="10"/>
        <w:rPr>
          <w:rFonts w:ascii="Arial" w:hAnsi="Arial" w:cs="Arial"/>
        </w:rPr>
      </w:pPr>
      <w:r>
        <w:rPr>
          <w:rFonts w:cs="Arial" w:ascii="Arial" w:hAnsi="Arial"/>
          <w:sz w:val="36"/>
        </w:rPr>
        <w:t xml:space="preserve">********* </w:t>
      </w:r>
    </w:p>
    <w:tbl>
      <w:tblPr>
        <w:tblStyle w:val="TableGrid"/>
        <w:tblpPr w:bottomFromText="0" w:horzAnchor="text" w:leftFromText="0" w:rightFromText="0" w:tblpX="-92" w:tblpY="-2525" w:topFromText="0" w:vertAnchor="text"/>
        <w:tblW w:w="9299" w:type="dxa"/>
        <w:jc w:val="left"/>
        <w:tblInd w:w="-5" w:type="dxa"/>
        <w:tblLayout w:type="fixed"/>
        <w:tblCellMar>
          <w:top w:w="91" w:type="dxa"/>
          <w:left w:w="115" w:type="dxa"/>
          <w:bottom w:w="0" w:type="dxa"/>
          <w:right w:w="44" w:type="dxa"/>
        </w:tblCellMar>
        <w:tblLook w:firstRow="1" w:noVBand="1" w:lastRow="0" w:firstColumn="1" w:lastColumn="0" w:noHBand="0" w:val="04a0"/>
      </w:tblPr>
      <w:tblGrid>
        <w:gridCol w:w="9299"/>
      </w:tblGrid>
      <w:tr>
        <w:trPr>
          <w:trHeight w:val="2734" w:hRule="atLeast"/>
        </w:trPr>
        <w:tc>
          <w:tcPr>
            <w:tcW w:w="9299" w:type="dxa"/>
            <w:tcBorders>
              <w:top w:val="single" w:sz="4" w:space="0" w:color="000000"/>
              <w:left w:val="single" w:sz="4" w:space="0" w:color="000000"/>
              <w:bottom w:val="single" w:sz="4" w:space="0" w:color="000000"/>
              <w:right w:val="single" w:sz="4" w:space="0" w:color="000000"/>
            </w:tcBorders>
          </w:tcPr>
          <w:p>
            <w:pPr>
              <w:pStyle w:val="Normal"/>
              <w:widowControl/>
              <w:spacing w:lineRule="auto" w:line="259" w:before="0" w:after="0"/>
              <w:ind w:left="125" w:hanging="0"/>
              <w:jc w:val="left"/>
              <w:rPr>
                <w:rFonts w:ascii="Arial" w:hAnsi="Arial" w:cs="Arial"/>
              </w:rPr>
            </w:pPr>
            <w:r>
              <w:rPr>
                <w:rFonts w:cs="Arial" w:ascii="Arial" w:hAnsi="Arial"/>
                <w:b/>
                <w:kern w:val="0"/>
                <w:sz w:val="32"/>
                <w:szCs w:val="22"/>
                <w:lang w:val="fr-FR" w:eastAsia="fr-FR" w:bidi="ar-SA"/>
              </w:rPr>
              <w:t>Enquête publique préalable à la Déclaration d'Utilité Publique (DUP), conjointe à une enquête parcellaire, au bénéfice de la commune de GONESSE, concernant le projet de réalisation d’un lotissement dit « des Jasmins » d’habitat individuel groupé de 20 lots à bâtir et d’espaces publics aménagés sur des délaissés fonciers.</w:t>
            </w:r>
          </w:p>
        </w:tc>
      </w:tr>
    </w:tbl>
    <w:p>
      <w:pPr>
        <w:pStyle w:val="Normal"/>
        <w:widowControl w:val="false"/>
        <w:spacing w:lineRule="auto" w:line="285" w:before="0" w:after="0"/>
        <w:ind w:left="0" w:right="-52" w:hanging="0"/>
        <w:jc w:val="center"/>
        <w:rPr>
          <w:rFonts w:ascii="Times New Roman" w:hAnsi="Times New Roman" w:eastAsia="Calibri" w:cs="Times New Roman"/>
          <w:i/>
          <w:i/>
          <w:color w:val="7030A0"/>
          <w:sz w:val="35"/>
          <w:szCs w:val="24"/>
          <w:lang w:eastAsia="en-US"/>
        </w:rPr>
      </w:pPr>
      <w:r>
        <w:rPr>
          <w:rFonts w:eastAsia="Calibri" w:cs="Times New Roman" w:ascii="Times New Roman" w:hAnsi="Times New Roman"/>
          <w:i/>
          <w:color w:val="7030A0"/>
          <w:sz w:val="35"/>
          <w:szCs w:val="24"/>
          <w:lang w:eastAsia="en-US"/>
        </w:rPr>
      </w:r>
    </w:p>
    <w:p>
      <w:pPr>
        <w:pStyle w:val="Normal"/>
        <w:widowControl w:val="false"/>
        <w:spacing w:lineRule="auto" w:line="285" w:before="0" w:after="0"/>
        <w:ind w:left="0" w:right="-52" w:hanging="0"/>
        <w:jc w:val="center"/>
        <w:rPr>
          <w:rFonts w:ascii="Times New Roman" w:hAnsi="Times New Roman" w:eastAsia="Calibri" w:cs="Times New Roman"/>
          <w:b/>
          <w:b/>
          <w:bCs/>
          <w:i/>
          <w:i/>
          <w:color w:val="auto"/>
          <w:sz w:val="35"/>
          <w:szCs w:val="24"/>
          <w:lang w:eastAsia="en-US"/>
        </w:rPr>
      </w:pPr>
      <w:r>
        <w:rPr>
          <w:rFonts w:eastAsia="Calibri" w:cs="Times New Roman" w:ascii="Times New Roman" w:hAnsi="Times New Roman"/>
          <w:b/>
          <w:bCs/>
          <w:i/>
          <w:color w:val="auto"/>
          <w:sz w:val="35"/>
          <w:szCs w:val="24"/>
          <w:lang w:eastAsia="en-US"/>
        </w:rPr>
        <w:t>du 29 janvier au 12 février 2024 inclus</w:t>
      </w:r>
    </w:p>
    <w:p>
      <w:pPr>
        <w:pStyle w:val="Normal"/>
        <w:spacing w:lineRule="auto" w:line="240" w:before="0" w:after="0"/>
        <w:ind w:left="32" w:right="120" w:hanging="10"/>
        <w:rPr>
          <w:rFonts w:ascii="Arial" w:hAnsi="Arial" w:cs="Arial"/>
          <w:sz w:val="36"/>
        </w:rPr>
      </w:pPr>
      <w:r>
        <w:rPr>
          <w:rFonts w:cs="Arial" w:ascii="Arial" w:hAnsi="Arial"/>
          <w:sz w:val="36"/>
        </w:rPr>
      </w:r>
    </w:p>
    <w:p>
      <w:pPr>
        <w:pStyle w:val="Normal"/>
        <w:spacing w:lineRule="auto" w:line="240" w:before="0" w:after="0"/>
        <w:ind w:left="32" w:right="120" w:hanging="10"/>
        <w:jc w:val="center"/>
        <w:rPr>
          <w:rFonts w:ascii="Arial" w:hAnsi="Arial" w:cs="Arial"/>
          <w:sz w:val="36"/>
        </w:rPr>
      </w:pPr>
      <w:r>
        <w:rPr/>
        <w:drawing>
          <wp:inline distT="0" distB="0" distL="0" distR="0">
            <wp:extent cx="3606800" cy="3178175"/>
            <wp:effectExtent l="0" t="0" r="0" b="0"/>
            <wp:docPr id="1" name="Image 37" descr="Une image contenant carte, Photographie aérienne, capture d’écran, Vue plonge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37" descr="Une image contenant carte, Photographie aérienne, capture d’écran, Vue plongeante&#10;&#10;Description générée automatiquement"/>
                    <pic:cNvPicPr>
                      <a:picLocks noChangeAspect="1" noChangeArrowheads="1"/>
                    </pic:cNvPicPr>
                  </pic:nvPicPr>
                  <pic:blipFill>
                    <a:blip r:embed="rId2"/>
                    <a:stretch>
                      <a:fillRect/>
                    </a:stretch>
                  </pic:blipFill>
                  <pic:spPr bwMode="auto">
                    <a:xfrm>
                      <a:off x="0" y="0"/>
                      <a:ext cx="3606800" cy="3178175"/>
                    </a:xfrm>
                    <a:prstGeom prst="rect">
                      <a:avLst/>
                    </a:prstGeom>
                  </pic:spPr>
                </pic:pic>
              </a:graphicData>
            </a:graphic>
          </wp:inline>
        </w:drawing>
      </w:r>
    </w:p>
    <w:p>
      <w:pPr>
        <w:pStyle w:val="Normal"/>
        <w:spacing w:lineRule="auto" w:line="240" w:before="0" w:after="0"/>
        <w:ind w:left="0" w:right="120" w:hanging="0"/>
        <w:rPr>
          <w:rFonts w:ascii="Arial" w:hAnsi="Arial" w:cs="Arial"/>
          <w:sz w:val="16"/>
          <w:szCs w:val="16"/>
        </w:rPr>
      </w:pPr>
      <w:r>
        <w:rPr>
          <w:rFonts w:cs="Arial" w:ascii="Arial" w:hAnsi="Arial"/>
          <w:sz w:val="16"/>
          <w:szCs w:val="16"/>
        </w:rPr>
        <w:tab/>
        <w:t xml:space="preserve">     Sources : Données cartographiques @ 2022 Google</w:t>
      </w:r>
    </w:p>
    <w:p>
      <w:pPr>
        <w:pStyle w:val="Normal"/>
        <w:spacing w:lineRule="auto" w:line="240" w:before="0" w:after="0"/>
        <w:ind w:left="0" w:right="120" w:hanging="0"/>
        <w:rPr>
          <w:rFonts w:ascii="Arial" w:hAnsi="Arial" w:cs="Arial"/>
          <w:sz w:val="16"/>
          <w:szCs w:val="16"/>
        </w:rPr>
      </w:pPr>
      <w:r>
        <w:rPr>
          <w:rFonts w:cs="Arial" w:ascii="Arial" w:hAnsi="Arial"/>
          <w:sz w:val="16"/>
          <w:szCs w:val="16"/>
        </w:rPr>
      </w:r>
    </w:p>
    <w:p>
      <w:pPr>
        <w:pStyle w:val="Normal"/>
        <w:spacing w:lineRule="auto" w:line="240" w:before="0" w:after="0"/>
        <w:ind w:left="0" w:right="120" w:hanging="0"/>
        <w:rPr>
          <w:rFonts w:ascii="Arial" w:hAnsi="Arial" w:cs="Arial"/>
          <w:sz w:val="16"/>
          <w:szCs w:val="16"/>
        </w:rPr>
      </w:pPr>
      <w:r>
        <w:rPr>
          <w:rFonts w:cs="Arial" w:ascii="Arial" w:hAnsi="Arial"/>
          <w:sz w:val="16"/>
          <w:szCs w:val="16"/>
        </w:rPr>
      </w:r>
    </w:p>
    <w:p>
      <w:pPr>
        <w:pStyle w:val="Normal"/>
        <w:spacing w:lineRule="auto" w:line="240" w:before="0" w:after="0"/>
        <w:ind w:left="0" w:right="120" w:hanging="0"/>
        <w:rPr>
          <w:rFonts w:ascii="Arial" w:hAnsi="Arial" w:cs="Arial"/>
          <w:sz w:val="16"/>
          <w:szCs w:val="16"/>
        </w:rPr>
      </w:pPr>
      <w:r>
        <w:rPr>
          <w:rFonts w:cs="Arial" w:ascii="Arial" w:hAnsi="Arial"/>
          <w:sz w:val="16"/>
          <w:szCs w:val="16"/>
        </w:rPr>
      </w:r>
    </w:p>
    <w:p>
      <w:pPr>
        <w:sectPr>
          <w:headerReference w:type="default" r:id="rId3"/>
          <w:headerReference w:type="first" r:id="rId4"/>
          <w:footerReference w:type="default" r:id="rId5"/>
          <w:footerReference w:type="first" r:id="rId6"/>
          <w:type w:val="nextPage"/>
          <w:pgSz w:w="11906" w:h="16838"/>
          <w:pgMar w:left="1417" w:right="1417" w:header="749" w:top="1417" w:footer="709" w:bottom="1417" w:gutter="0"/>
          <w:pgNumType w:fmt="decimal"/>
          <w:formProt w:val="false"/>
          <w:titlePg/>
          <w:textDirection w:val="lrTb"/>
          <w:docGrid w:type="default" w:linePitch="326" w:charSpace="0"/>
        </w:sectPr>
        <w:pStyle w:val="Normal"/>
        <w:widowControl w:val="false"/>
        <w:spacing w:lineRule="auto" w:line="240" w:before="0" w:after="0"/>
        <w:ind w:left="11" w:hanging="0"/>
        <w:jc w:val="both"/>
        <w:rPr>
          <w:rFonts w:ascii="Times New Roman" w:hAnsi="Times New Roman" w:eastAsia="Calibri" w:cs="Times New Roman"/>
          <w:i/>
          <w:i/>
          <w:color w:val="1C1C1C"/>
          <w:szCs w:val="24"/>
          <w:u w:val="none" w:color="000000"/>
          <w:lang w:eastAsia="en-US"/>
        </w:rPr>
      </w:pPr>
      <w:r>
        <w:rPr>
          <w:rFonts w:eastAsia="Calibri" w:cs="Times New Roman" w:ascii="Times New Roman" w:hAnsi="Times New Roman"/>
          <w:i/>
          <w:color w:val="1C1C1C"/>
          <w:szCs w:val="24"/>
          <w:u w:val="none" w:color="000000"/>
          <w:lang w:eastAsia="en-US"/>
        </w:rPr>
        <w:t>Rapport rédigé par Monsieur Eric Seynave, commissaire enquêteur, désigné par Monsieur le Président du tribunal administratif de Cergy-Pontoise, par décision n°E</w:t>
      </w:r>
      <w:bookmarkStart w:id="0" w:name="_Hlk30802612"/>
      <w:bookmarkStart w:id="1" w:name="_Hlk5185079"/>
      <w:bookmarkEnd w:id="0"/>
      <w:bookmarkEnd w:id="1"/>
      <w:r>
        <w:rPr>
          <w:rFonts w:eastAsia="Calibri" w:cs="Times New Roman" w:ascii="Times New Roman" w:hAnsi="Times New Roman"/>
          <w:i/>
          <w:color w:val="1C1C1C"/>
          <w:szCs w:val="24"/>
          <w:u w:val="none" w:color="000000"/>
          <w:lang w:eastAsia="en-US"/>
        </w:rPr>
        <w:t>23000057/95</w:t>
      </w:r>
    </w:p>
    <w:p>
      <w:pPr>
        <w:pStyle w:val="Normal"/>
        <w:widowControl w:val="false"/>
        <w:spacing w:lineRule="auto" w:line="240" w:before="0" w:after="0"/>
        <w:ind w:left="0" w:hanging="0"/>
        <w:jc w:val="both"/>
        <w:rPr>
          <w:rFonts w:ascii="Times New Roman" w:hAnsi="Times New Roman" w:eastAsia="Calibri" w:cs="Times New Roman"/>
          <w:i/>
          <w:i/>
          <w:color w:val="1C1C1C"/>
          <w:szCs w:val="24"/>
          <w:u w:val="none" w:color="000000"/>
          <w:lang w:eastAsia="en-US"/>
        </w:rPr>
      </w:pPr>
      <w:r>
        <w:rPr>
          <w:rFonts w:eastAsia="Calibri" w:cs="Times New Roman" w:ascii="Times New Roman" w:hAnsi="Times New Roman"/>
          <w:i/>
          <w:color w:val="1C1C1C"/>
          <w:szCs w:val="24"/>
          <w:u w:val="none" w:color="000000"/>
          <w:lang w:eastAsia="en-US"/>
        </w:rPr>
      </w:r>
    </w:p>
    <w:p>
      <w:pPr>
        <w:pStyle w:val="Normal"/>
        <w:widowControl w:val="false"/>
        <w:spacing w:lineRule="auto" w:line="240" w:before="0" w:after="0"/>
        <w:ind w:left="13" w:hanging="0"/>
        <w:jc w:val="both"/>
        <w:rPr>
          <w:rFonts w:ascii="Times New Roman" w:hAnsi="Times New Roman" w:eastAsia="Calibri" w:cs="Times New Roman"/>
          <w:i/>
          <w:i/>
          <w:color w:val="1C1C1C"/>
          <w:szCs w:val="24"/>
          <w:u w:val="none" w:color="000000"/>
          <w:lang w:eastAsia="en-US"/>
        </w:rPr>
      </w:pPr>
      <w:r>
        <w:rPr>
          <w:rFonts w:eastAsia="Calibri" w:cs="Times New Roman" w:ascii="Times New Roman" w:hAnsi="Times New Roman"/>
          <w:i/>
          <w:color w:val="1C1C1C"/>
          <w:szCs w:val="24"/>
          <w:u w:val="none" w:color="000000"/>
          <w:lang w:eastAsia="en-US"/>
        </w:rPr>
      </w:r>
      <w:bookmarkStart w:id="2" w:name="_Hlk75626284"/>
      <w:bookmarkStart w:id="3" w:name="_Hlk75626284"/>
      <w:bookmarkEnd w:id="3"/>
    </w:p>
    <w:p>
      <w:pPr>
        <w:pStyle w:val="Normal"/>
        <w:spacing w:lineRule="auto" w:line="259" w:before="0" w:after="121"/>
        <w:ind w:left="0" w:right="861" w:hanging="0"/>
        <w:jc w:val="right"/>
        <w:rPr>
          <w:rFonts w:ascii="Arial" w:hAnsi="Arial" w:cs="Arial"/>
        </w:rPr>
      </w:pPr>
      <w:r>
        <w:rPr>
          <w:rFonts w:cs="Arial" w:ascii="Arial" w:hAnsi="Arial"/>
        </w:rPr>
      </w:r>
    </w:p>
    <w:p>
      <w:pPr>
        <w:pStyle w:val="Normal"/>
        <w:spacing w:lineRule="auto" w:line="259" w:before="0" w:after="158"/>
        <w:ind w:left="0" w:right="936" w:hanging="0"/>
        <w:jc w:val="center"/>
        <w:rPr>
          <w:rFonts w:ascii="Arial" w:hAnsi="Arial" w:cs="Arial"/>
          <w:lang w:val="en-US"/>
        </w:rPr>
      </w:pPr>
      <w:r>
        <w:rPr>
          <w:rFonts w:cs="Arial" w:ascii="Arial" w:hAnsi="Arial"/>
          <w:b/>
          <w:sz w:val="32"/>
          <w:u w:val="single" w:color="000000"/>
          <w:lang w:val="en-US"/>
        </w:rPr>
        <w:t>S O M M A I R E</w:t>
      </w:r>
      <w:r>
        <w:rPr>
          <w:rFonts w:cs="Arial" w:ascii="Arial" w:hAnsi="Arial"/>
          <w:b/>
          <w:sz w:val="32"/>
          <w:lang w:val="en-US"/>
        </w:rPr>
        <w:t xml:space="preserve"> </w:t>
      </w:r>
    </w:p>
    <w:p>
      <w:pPr>
        <w:pStyle w:val="Normal"/>
        <w:spacing w:lineRule="auto" w:line="259" w:before="0" w:after="155"/>
        <w:ind w:left="0" w:right="861" w:hanging="0"/>
        <w:jc w:val="center"/>
        <w:rPr>
          <w:rFonts w:ascii="Arial" w:hAnsi="Arial" w:cs="Arial"/>
          <w:b/>
          <w:b/>
          <w:bCs/>
          <w:lang w:val="en-US"/>
        </w:rPr>
      </w:pPr>
      <w:r>
        <w:rPr>
          <w:rFonts w:cs="Arial" w:ascii="Arial" w:hAnsi="Arial"/>
          <w:b/>
          <w:bCs/>
          <w:lang w:val="en-US"/>
        </w:rPr>
        <w:t>Chapitre I – Rapport</w:t>
      </w:r>
    </w:p>
    <w:p>
      <w:pPr>
        <w:pStyle w:val="Normal"/>
        <w:spacing w:lineRule="auto" w:line="259" w:before="0" w:after="155"/>
        <w:ind w:left="0" w:right="861" w:hanging="0"/>
        <w:jc w:val="center"/>
        <w:rPr>
          <w:rFonts w:ascii="Arial" w:hAnsi="Arial" w:cs="Arial"/>
          <w:b/>
          <w:b/>
          <w:bCs/>
        </w:rPr>
      </w:pPr>
      <w:r>
        <w:rPr>
          <w:rFonts w:cs="Arial" w:ascii="Arial" w:hAnsi="Arial"/>
          <w:b/>
          <w:bCs/>
          <w:lang w:val="en-US"/>
        </w:rPr>
        <w:tab/>
        <w:tab/>
        <w:tab/>
        <w:tab/>
        <w:tab/>
        <w:tab/>
        <w:tab/>
        <w:tab/>
        <w:tab/>
        <w:tab/>
        <w:t xml:space="preserve">  </w:t>
      </w:r>
      <w:r>
        <w:rPr>
          <w:rFonts w:cs="Arial" w:ascii="Arial" w:hAnsi="Arial"/>
          <w:b/>
          <w:bCs/>
        </w:rPr>
        <w:t>Page</w:t>
        <w:tab/>
      </w:r>
    </w:p>
    <w:p>
      <w:pPr>
        <w:pStyle w:val="ListParagraph"/>
        <w:numPr>
          <w:ilvl w:val="0"/>
          <w:numId w:val="5"/>
        </w:numPr>
        <w:spacing w:lineRule="auto" w:line="259" w:before="0" w:after="155"/>
        <w:ind w:left="360" w:right="861" w:hanging="360"/>
        <w:contextualSpacing/>
        <w:rPr>
          <w:rFonts w:ascii="Arial" w:hAnsi="Arial" w:cs="Arial"/>
          <w:b/>
          <w:b/>
          <w:bCs/>
        </w:rPr>
      </w:pPr>
      <w:r>
        <w:rPr>
          <w:rFonts w:cs="Arial" w:ascii="Arial" w:hAnsi="Arial"/>
          <w:b/>
          <w:bCs/>
        </w:rPr>
        <w:t>Généralités</w:t>
      </w:r>
    </w:p>
    <w:p>
      <w:pPr>
        <w:pStyle w:val="ListParagraph"/>
        <w:numPr>
          <w:ilvl w:val="1"/>
          <w:numId w:val="13"/>
        </w:numPr>
        <w:spacing w:lineRule="auto" w:line="259" w:before="0" w:after="155"/>
        <w:ind w:left="1080" w:right="861" w:hanging="720"/>
        <w:contextualSpacing/>
        <w:rPr>
          <w:rFonts w:ascii="Arial" w:hAnsi="Arial" w:cs="Arial"/>
        </w:rPr>
      </w:pPr>
      <w:r>
        <w:rPr>
          <w:rFonts w:cs="Arial" w:ascii="Arial" w:hAnsi="Arial"/>
        </w:rPr>
        <w:t>Préambule</w:t>
        <w:tab/>
        <w:tab/>
        <w:tab/>
        <w:tab/>
        <w:tab/>
        <w:tab/>
        <w:tab/>
        <w:tab/>
        <w:t xml:space="preserve"> 3</w:t>
      </w:r>
    </w:p>
    <w:p>
      <w:pPr>
        <w:pStyle w:val="ListParagraph"/>
        <w:numPr>
          <w:ilvl w:val="1"/>
          <w:numId w:val="13"/>
        </w:numPr>
        <w:spacing w:lineRule="auto" w:line="259" w:before="0" w:after="155"/>
        <w:ind w:left="1080" w:right="861" w:hanging="720"/>
        <w:contextualSpacing/>
        <w:rPr>
          <w:rFonts w:ascii="Arial" w:hAnsi="Arial" w:cs="Arial"/>
        </w:rPr>
      </w:pPr>
      <w:r>
        <w:rPr>
          <w:rFonts w:cs="Arial" w:ascii="Arial" w:hAnsi="Arial"/>
        </w:rPr>
        <w:t>Cadre général du projet,</w:t>
        <w:tab/>
        <w:tab/>
        <w:tab/>
        <w:tab/>
        <w:tab/>
        <w:tab/>
        <w:t xml:space="preserve"> 4</w:t>
      </w:r>
    </w:p>
    <w:p>
      <w:pPr>
        <w:pStyle w:val="ListParagraph"/>
        <w:numPr>
          <w:ilvl w:val="1"/>
          <w:numId w:val="13"/>
        </w:numPr>
        <w:spacing w:lineRule="auto" w:line="259" w:before="0" w:after="155"/>
        <w:ind w:left="1080" w:right="861" w:hanging="720"/>
        <w:contextualSpacing/>
        <w:rPr>
          <w:rFonts w:ascii="Arial" w:hAnsi="Arial" w:cs="Arial"/>
        </w:rPr>
      </w:pPr>
      <w:r>
        <w:rPr>
          <w:rFonts w:cs="Arial" w:ascii="Arial" w:hAnsi="Arial"/>
        </w:rPr>
        <w:t>L’objet de l’enquête</w:t>
        <w:tab/>
        <w:tab/>
        <w:tab/>
        <w:tab/>
        <w:tab/>
        <w:tab/>
        <w:tab/>
        <w:t xml:space="preserve"> 9</w:t>
      </w:r>
    </w:p>
    <w:p>
      <w:pPr>
        <w:pStyle w:val="ListParagraph"/>
        <w:numPr>
          <w:ilvl w:val="1"/>
          <w:numId w:val="13"/>
        </w:numPr>
        <w:spacing w:lineRule="auto" w:line="259" w:before="0" w:after="155"/>
        <w:ind w:left="1080" w:right="861" w:hanging="720"/>
        <w:contextualSpacing/>
        <w:rPr>
          <w:rFonts w:ascii="Arial" w:hAnsi="Arial" w:cs="Arial"/>
        </w:rPr>
      </w:pPr>
      <w:r>
        <w:rPr>
          <w:rFonts w:cs="Arial" w:ascii="Arial" w:hAnsi="Arial"/>
        </w:rPr>
        <w:t>Cadre juridique de l’enquête publique</w:t>
        <w:tab/>
        <w:tab/>
        <w:tab/>
        <w:tab/>
        <w:t xml:space="preserve">10 </w:t>
      </w:r>
    </w:p>
    <w:p>
      <w:pPr>
        <w:pStyle w:val="ListParagraph"/>
        <w:numPr>
          <w:ilvl w:val="1"/>
          <w:numId w:val="13"/>
        </w:numPr>
        <w:spacing w:lineRule="auto" w:line="259" w:before="0" w:after="155"/>
        <w:ind w:left="1080" w:right="861" w:hanging="720"/>
        <w:contextualSpacing/>
        <w:rPr>
          <w:rFonts w:ascii="Arial" w:hAnsi="Arial" w:cs="Arial"/>
        </w:rPr>
      </w:pPr>
      <w:r>
        <w:rPr>
          <w:rFonts w:cs="Arial" w:ascii="Arial" w:hAnsi="Arial"/>
        </w:rPr>
        <w:t xml:space="preserve">Présentation succincte du projet, </w:t>
        <w:tab/>
        <w:tab/>
        <w:tab/>
        <w:tab/>
        <w:tab/>
        <w:t>13</w:t>
      </w:r>
    </w:p>
    <w:p>
      <w:pPr>
        <w:pStyle w:val="ListParagraph"/>
        <w:numPr>
          <w:ilvl w:val="1"/>
          <w:numId w:val="13"/>
        </w:numPr>
        <w:spacing w:lineRule="auto" w:line="259" w:before="0" w:after="155"/>
        <w:ind w:left="1080" w:right="861" w:hanging="720"/>
        <w:contextualSpacing/>
        <w:rPr>
          <w:rFonts w:ascii="Arial" w:hAnsi="Arial" w:cs="Arial"/>
        </w:rPr>
      </w:pPr>
      <w:r>
        <w:rPr>
          <w:rFonts w:cs="Arial" w:ascii="Arial" w:hAnsi="Arial"/>
        </w:rPr>
        <w:t>Liste de l’ensemble des pièces présentes dans le dossier.</w:t>
        <w:tab/>
        <w:t>14</w:t>
      </w:r>
    </w:p>
    <w:p>
      <w:pPr>
        <w:pStyle w:val="Normal"/>
        <w:spacing w:lineRule="auto" w:line="259" w:before="0" w:after="155"/>
        <w:ind w:left="31" w:right="861" w:hanging="10"/>
        <w:rPr>
          <w:rFonts w:ascii="Arial" w:hAnsi="Arial" w:cs="Arial"/>
        </w:rPr>
      </w:pPr>
      <w:r>
        <w:rPr>
          <w:rFonts w:cs="Arial" w:ascii="Arial" w:hAnsi="Arial"/>
        </w:rPr>
      </w:r>
    </w:p>
    <w:p>
      <w:pPr>
        <w:pStyle w:val="ListParagraph"/>
        <w:numPr>
          <w:ilvl w:val="0"/>
          <w:numId w:val="13"/>
        </w:numPr>
        <w:spacing w:lineRule="auto" w:line="259" w:before="0" w:after="155"/>
        <w:ind w:left="390" w:right="861" w:hanging="390"/>
        <w:contextualSpacing/>
        <w:rPr>
          <w:rFonts w:ascii="Arial" w:hAnsi="Arial" w:cs="Arial"/>
          <w:b/>
          <w:b/>
          <w:bCs/>
        </w:rPr>
      </w:pPr>
      <w:r>
        <w:rPr>
          <w:rFonts w:cs="Arial" w:ascii="Arial" w:hAnsi="Arial"/>
          <w:b/>
          <w:bCs/>
        </w:rPr>
        <w:t>Organisation de l’enquête</w:t>
      </w:r>
    </w:p>
    <w:p>
      <w:pPr>
        <w:pStyle w:val="ListParagraph"/>
        <w:numPr>
          <w:ilvl w:val="1"/>
          <w:numId w:val="13"/>
        </w:numPr>
        <w:spacing w:lineRule="auto" w:line="259" w:before="0" w:after="155"/>
        <w:ind w:left="1080" w:right="861" w:hanging="720"/>
        <w:contextualSpacing/>
        <w:rPr>
          <w:rFonts w:ascii="Arial" w:hAnsi="Arial" w:cs="Arial"/>
        </w:rPr>
      </w:pPr>
      <w:r>
        <w:rPr>
          <w:rFonts w:cs="Arial" w:ascii="Arial" w:hAnsi="Arial"/>
        </w:rPr>
        <w:t>Désignation du commissaire enquêteur</w:t>
        <w:tab/>
        <w:tab/>
        <w:tab/>
        <w:tab/>
        <w:t xml:space="preserve">16                 </w:t>
      </w:r>
    </w:p>
    <w:p>
      <w:pPr>
        <w:pStyle w:val="ListParagraph"/>
        <w:numPr>
          <w:ilvl w:val="1"/>
          <w:numId w:val="13"/>
        </w:numPr>
        <w:spacing w:lineRule="auto" w:line="259" w:before="0" w:after="155"/>
        <w:ind w:left="1080" w:right="861" w:hanging="720"/>
        <w:contextualSpacing/>
        <w:rPr>
          <w:rFonts w:ascii="Arial" w:hAnsi="Arial" w:cs="Arial"/>
        </w:rPr>
      </w:pPr>
      <w:r>
        <w:rPr>
          <w:rFonts w:cs="Arial" w:ascii="Arial" w:hAnsi="Arial"/>
        </w:rPr>
        <w:t>Arrêté d’ouverture d’enquête,</w:t>
        <w:tab/>
        <w:tab/>
        <w:tab/>
        <w:tab/>
        <w:tab/>
        <w:tab/>
        <w:t>17 </w:t>
      </w:r>
    </w:p>
    <w:p>
      <w:pPr>
        <w:pStyle w:val="ListParagraph"/>
        <w:numPr>
          <w:ilvl w:val="1"/>
          <w:numId w:val="13"/>
        </w:numPr>
        <w:spacing w:lineRule="auto" w:line="259" w:before="0" w:after="155"/>
        <w:ind w:left="1080" w:right="861" w:hanging="720"/>
        <w:contextualSpacing/>
        <w:rPr>
          <w:rFonts w:ascii="Arial" w:hAnsi="Arial" w:cs="Arial"/>
        </w:rPr>
      </w:pPr>
      <w:r>
        <w:rPr>
          <w:rFonts w:cs="Arial" w:ascii="Arial" w:hAnsi="Arial"/>
        </w:rPr>
        <w:t>Visites des lieux et réunions avec le porteur de projet</w:t>
        <w:tab/>
        <w:tab/>
        <w:t>18</w:t>
      </w:r>
    </w:p>
    <w:p>
      <w:pPr>
        <w:pStyle w:val="ListParagraph"/>
        <w:numPr>
          <w:ilvl w:val="1"/>
          <w:numId w:val="13"/>
        </w:numPr>
        <w:spacing w:lineRule="auto" w:line="259" w:before="0" w:after="155"/>
        <w:ind w:left="1080" w:right="861" w:hanging="720"/>
        <w:contextualSpacing/>
        <w:rPr>
          <w:rFonts w:ascii="Arial" w:hAnsi="Arial" w:cs="Arial"/>
        </w:rPr>
      </w:pPr>
      <w:r>
        <w:rPr>
          <w:rFonts w:cs="Arial" w:ascii="Arial" w:hAnsi="Arial"/>
        </w:rPr>
        <w:t>Mesures de publicité.</w:t>
        <w:tab/>
        <w:tab/>
        <w:tab/>
        <w:tab/>
        <w:tab/>
        <w:tab/>
        <w:tab/>
        <w:t>22</w:t>
      </w:r>
    </w:p>
    <w:p>
      <w:pPr>
        <w:pStyle w:val="Normal"/>
        <w:spacing w:lineRule="auto" w:line="259" w:before="0" w:after="155"/>
        <w:ind w:left="31" w:right="861" w:hanging="10"/>
        <w:rPr>
          <w:rFonts w:ascii="Arial" w:hAnsi="Arial" w:cs="Arial"/>
        </w:rPr>
      </w:pPr>
      <w:r>
        <w:rPr>
          <w:rFonts w:cs="Arial" w:ascii="Arial" w:hAnsi="Arial"/>
        </w:rPr>
      </w:r>
    </w:p>
    <w:p>
      <w:pPr>
        <w:pStyle w:val="ListParagraph"/>
        <w:numPr>
          <w:ilvl w:val="0"/>
          <w:numId w:val="13"/>
        </w:numPr>
        <w:spacing w:lineRule="auto" w:line="259" w:before="0" w:after="155"/>
        <w:ind w:left="390" w:right="861" w:hanging="390"/>
        <w:contextualSpacing/>
        <w:rPr>
          <w:rFonts w:ascii="Arial" w:hAnsi="Arial" w:cs="Arial"/>
          <w:b/>
          <w:b/>
          <w:bCs/>
        </w:rPr>
      </w:pPr>
      <w:r>
        <w:rPr>
          <w:rFonts w:cs="Arial" w:ascii="Arial" w:hAnsi="Arial"/>
          <w:b/>
          <w:bCs/>
        </w:rPr>
        <w:t>Déroulement de l’enquête</w:t>
      </w:r>
    </w:p>
    <w:p>
      <w:pPr>
        <w:pStyle w:val="ListParagraph"/>
        <w:numPr>
          <w:ilvl w:val="1"/>
          <w:numId w:val="13"/>
        </w:numPr>
        <w:spacing w:lineRule="auto" w:line="259" w:before="0" w:after="155"/>
        <w:ind w:left="1080" w:right="861" w:hanging="720"/>
        <w:contextualSpacing/>
        <w:rPr>
          <w:rFonts w:ascii="Arial" w:hAnsi="Arial" w:cs="Arial"/>
        </w:rPr>
      </w:pPr>
      <w:r>
        <w:rPr>
          <w:rFonts w:cs="Arial" w:ascii="Arial" w:hAnsi="Arial"/>
        </w:rPr>
        <w:t>Permanences réalisées</w:t>
        <w:tab/>
        <w:tab/>
        <w:tab/>
        <w:tab/>
        <w:tab/>
        <w:tab/>
        <w:t>23</w:t>
      </w:r>
      <w:bookmarkStart w:id="4" w:name="_Hlk110688473"/>
      <w:bookmarkEnd w:id="4"/>
    </w:p>
    <w:p>
      <w:pPr>
        <w:pStyle w:val="ListParagraph"/>
        <w:numPr>
          <w:ilvl w:val="1"/>
          <w:numId w:val="13"/>
        </w:numPr>
        <w:spacing w:lineRule="auto" w:line="259" w:before="0" w:after="155"/>
        <w:ind w:left="1080" w:right="861" w:hanging="720"/>
        <w:contextualSpacing/>
        <w:rPr>
          <w:rFonts w:ascii="Arial" w:hAnsi="Arial" w:cs="Arial"/>
        </w:rPr>
      </w:pPr>
      <w:r>
        <w:rPr>
          <w:rFonts w:cs="Arial" w:ascii="Arial" w:hAnsi="Arial"/>
        </w:rPr>
        <w:t xml:space="preserve">Comptabilisation des observations </w:t>
        <w:tab/>
        <w:tab/>
        <w:tab/>
        <w:tab/>
        <w:tab/>
        <w:t>24</w:t>
      </w:r>
    </w:p>
    <w:p>
      <w:pPr>
        <w:pStyle w:val="ListParagraph"/>
        <w:numPr>
          <w:ilvl w:val="1"/>
          <w:numId w:val="13"/>
        </w:numPr>
        <w:spacing w:lineRule="auto" w:line="259" w:before="0" w:after="155"/>
        <w:ind w:left="1080" w:right="861" w:hanging="720"/>
        <w:contextualSpacing/>
        <w:rPr>
          <w:rFonts w:ascii="Arial" w:hAnsi="Arial" w:cs="Arial"/>
        </w:rPr>
      </w:pPr>
      <w:r>
        <w:rPr>
          <w:rFonts w:cs="Arial" w:ascii="Arial" w:hAnsi="Arial"/>
        </w:rPr>
        <w:t>Clôture de l’enquête.</w:t>
        <w:tab/>
        <w:tab/>
        <w:tab/>
        <w:tab/>
        <w:tab/>
        <w:tab/>
        <w:tab/>
        <w:t>24</w:t>
      </w:r>
    </w:p>
    <w:p>
      <w:pPr>
        <w:pStyle w:val="Normal"/>
        <w:spacing w:lineRule="auto" w:line="259" w:before="0" w:after="155"/>
        <w:ind w:left="31" w:right="861" w:hanging="10"/>
        <w:rPr>
          <w:rFonts w:ascii="Arial" w:hAnsi="Arial" w:cs="Arial"/>
        </w:rPr>
      </w:pPr>
      <w:r>
        <w:rPr>
          <w:rFonts w:cs="Arial" w:ascii="Arial" w:hAnsi="Arial"/>
        </w:rPr>
      </w:r>
    </w:p>
    <w:p>
      <w:pPr>
        <w:pStyle w:val="ListParagraph"/>
        <w:numPr>
          <w:ilvl w:val="0"/>
          <w:numId w:val="13"/>
        </w:numPr>
        <w:spacing w:lineRule="auto" w:line="259" w:before="0" w:after="155"/>
        <w:ind w:left="390" w:right="861" w:hanging="390"/>
        <w:contextualSpacing/>
        <w:rPr>
          <w:rFonts w:ascii="Arial" w:hAnsi="Arial" w:cs="Arial"/>
        </w:rPr>
      </w:pPr>
      <w:r>
        <w:rPr>
          <w:rFonts w:cs="Arial" w:ascii="Arial" w:hAnsi="Arial"/>
          <w:b/>
          <w:bCs/>
        </w:rPr>
        <w:t>Analyse des observations</w:t>
        <w:tab/>
        <w:tab/>
        <w:tab/>
        <w:tab/>
        <w:tab/>
        <w:tab/>
        <w:tab/>
      </w:r>
      <w:r>
        <w:rPr>
          <w:rFonts w:cs="Arial" w:ascii="Arial" w:hAnsi="Arial"/>
        </w:rPr>
        <w:t>25</w:t>
      </w:r>
      <w:r>
        <w:rPr>
          <w:rFonts w:cs="Arial" w:ascii="Arial" w:hAnsi="Arial"/>
          <w:b/>
          <w:bCs/>
        </w:rPr>
        <w:tab/>
        <w:tab/>
        <w:tab/>
        <w:tab/>
        <w:tab/>
        <w:tab/>
        <w:tab/>
      </w:r>
    </w:p>
    <w:p>
      <w:pPr>
        <w:pStyle w:val="ListParagraph"/>
        <w:spacing w:lineRule="auto" w:line="259" w:before="0" w:after="155"/>
        <w:ind w:left="390" w:right="861" w:hanging="0"/>
        <w:contextualSpacing/>
        <w:rPr>
          <w:rFonts w:ascii="Arial" w:hAnsi="Arial" w:cs="Arial"/>
        </w:rPr>
      </w:pPr>
      <w:r>
        <w:rPr>
          <w:rFonts w:cs="Arial" w:ascii="Arial" w:hAnsi="Arial"/>
          <w:b/>
          <w:bCs/>
        </w:rPr>
        <w:t xml:space="preserve"> </w:t>
      </w:r>
    </w:p>
    <w:p>
      <w:pPr>
        <w:pStyle w:val="ListParagraph"/>
        <w:numPr>
          <w:ilvl w:val="0"/>
          <w:numId w:val="13"/>
        </w:numPr>
        <w:spacing w:lineRule="auto" w:line="259" w:before="0" w:after="155"/>
        <w:ind w:left="390" w:right="861" w:hanging="390"/>
        <w:contextualSpacing/>
        <w:rPr>
          <w:rFonts w:ascii="Arial" w:hAnsi="Arial" w:cs="Arial"/>
        </w:rPr>
      </w:pPr>
      <w:r>
        <w:rPr>
          <w:rFonts w:cs="Arial" w:ascii="Arial" w:hAnsi="Arial"/>
          <w:b/>
          <w:bCs/>
        </w:rPr>
        <w:t>Liste des Annexes</w:t>
        <w:tab/>
      </w:r>
      <w:r>
        <w:rPr>
          <w:rFonts w:cs="Arial" w:ascii="Arial" w:hAnsi="Arial"/>
        </w:rPr>
        <w:t>(dossier joint</w:t>
        <w:tab/>
        <w:t>au Rapport)</w:t>
      </w:r>
      <w:r>
        <w:rPr>
          <w:rFonts w:cs="Arial" w:ascii="Arial" w:hAnsi="Arial"/>
          <w:b/>
          <w:bCs/>
        </w:rPr>
        <w:tab/>
        <w:tab/>
        <w:tab/>
        <w:tab/>
      </w:r>
      <w:r>
        <w:rPr>
          <w:rFonts w:cs="Arial" w:ascii="Arial" w:hAnsi="Arial"/>
        </w:rPr>
        <w:t>30</w:t>
      </w:r>
      <w:r>
        <w:rPr>
          <w:rFonts w:cs="Arial" w:ascii="Arial" w:hAnsi="Arial"/>
          <w:b/>
          <w:bCs/>
        </w:rPr>
        <w:tab/>
        <w:t xml:space="preserve">      </w:t>
        <w:tab/>
        <w:tab/>
        <w:tab/>
        <w:tab/>
        <w:tab/>
        <w:tab/>
        <w:tab/>
        <w:tab/>
      </w:r>
    </w:p>
    <w:p>
      <w:pPr>
        <w:pStyle w:val="Normal"/>
        <w:spacing w:lineRule="auto" w:line="259" w:before="0" w:after="155"/>
        <w:ind w:left="0" w:right="861" w:hanging="0"/>
        <w:rPr>
          <w:rFonts w:ascii="Arial" w:hAnsi="Arial" w:cs="Arial"/>
        </w:rPr>
      </w:pPr>
      <w:r>
        <w:rPr>
          <w:rFonts w:cs="Arial" w:ascii="Arial" w:hAnsi="Arial"/>
        </w:rPr>
      </w:r>
    </w:p>
    <w:p>
      <w:pPr>
        <w:pStyle w:val="Normal"/>
        <w:spacing w:lineRule="auto" w:line="254" w:before="0" w:after="155"/>
        <w:ind w:left="0" w:right="861" w:hanging="0"/>
        <w:jc w:val="center"/>
        <w:rPr>
          <w:rFonts w:ascii="Arial" w:hAnsi="Arial" w:cs="Arial"/>
        </w:rPr>
      </w:pPr>
      <w:r>
        <w:rPr>
          <w:rFonts w:cs="Arial" w:ascii="Arial" w:hAnsi="Arial"/>
          <w:b/>
          <w:bCs/>
        </w:rPr>
        <w:t xml:space="preserve">Chapitre II – Conclusion et avis DUP                                                     </w:t>
      </w:r>
      <w:r>
        <w:rPr>
          <w:rFonts w:cs="Arial" w:ascii="Arial" w:hAnsi="Arial"/>
        </w:rPr>
        <w:t>31</w:t>
      </w:r>
      <w:bookmarkStart w:id="5" w:name="_Hlk110687389"/>
      <w:bookmarkEnd w:id="5"/>
    </w:p>
    <w:p>
      <w:pPr>
        <w:pStyle w:val="Normal"/>
        <w:spacing w:lineRule="auto" w:line="254" w:before="0" w:after="155"/>
        <w:ind w:left="0" w:right="861" w:hanging="0"/>
        <w:jc w:val="center"/>
        <w:rPr>
          <w:rFonts w:ascii="Arial" w:hAnsi="Arial" w:cs="Arial"/>
          <w:b/>
          <w:b/>
          <w:bCs/>
        </w:rPr>
      </w:pPr>
      <w:r>
        <w:rPr>
          <w:rFonts w:cs="Arial" w:ascii="Arial" w:hAnsi="Arial"/>
          <w:b/>
          <w:bCs/>
        </w:rPr>
      </w:r>
    </w:p>
    <w:p>
      <w:pPr>
        <w:pStyle w:val="Normal"/>
        <w:spacing w:lineRule="auto" w:line="254" w:before="0" w:after="155"/>
        <w:ind w:left="0" w:right="861" w:hanging="0"/>
        <w:rPr>
          <w:rFonts w:ascii="Arial" w:hAnsi="Arial" w:cs="Arial"/>
        </w:rPr>
      </w:pPr>
      <w:r>
        <w:rPr>
          <w:rFonts w:cs="Arial" w:ascii="Arial" w:hAnsi="Arial"/>
          <w:b/>
          <w:bCs/>
        </w:rPr>
        <w:t xml:space="preserve">   </w:t>
      </w:r>
      <w:r>
        <w:rPr>
          <w:rFonts w:cs="Arial" w:ascii="Arial" w:hAnsi="Arial"/>
          <w:b/>
          <w:bCs/>
        </w:rPr>
        <w:t>Chapitre III – Conclusion et avis Parcellaire</w:t>
        <w:tab/>
        <w:tab/>
        <w:tab/>
        <w:t xml:space="preserve">           </w:t>
      </w:r>
      <w:r>
        <w:rPr>
          <w:rFonts w:cs="Arial" w:ascii="Arial" w:hAnsi="Arial"/>
        </w:rPr>
        <w:t>39</w:t>
      </w:r>
    </w:p>
    <w:p>
      <w:pPr>
        <w:pStyle w:val="Normal"/>
        <w:spacing w:lineRule="auto" w:line="259" w:before="0" w:after="351"/>
        <w:ind w:left="0" w:right="861" w:hanging="0"/>
        <w:jc w:val="center"/>
        <w:rPr>
          <w:rFonts w:ascii="Arial" w:hAnsi="Arial" w:cs="Arial"/>
          <w:b/>
          <w:b/>
          <w:sz w:val="28"/>
        </w:rPr>
      </w:pPr>
      <w:r>
        <w:rPr>
          <w:rFonts w:cs="Arial" w:ascii="Arial" w:hAnsi="Arial"/>
          <w:b/>
          <w:sz w:val="28"/>
        </w:rPr>
      </w:r>
    </w:p>
    <w:p>
      <w:pPr>
        <w:pStyle w:val="Normal"/>
        <w:spacing w:lineRule="auto" w:line="259" w:before="0" w:after="351"/>
        <w:ind w:left="0" w:right="861" w:hanging="0"/>
        <w:jc w:val="center"/>
        <w:rPr>
          <w:rFonts w:ascii="Arial" w:hAnsi="Arial" w:cs="Arial"/>
        </w:rPr>
      </w:pPr>
      <w:r>
        <w:rPr>
          <w:rFonts w:cs="Arial" w:ascii="Arial" w:hAnsi="Arial"/>
          <w:b/>
          <w:sz w:val="28"/>
        </w:rPr>
        <w:t xml:space="preserve"> </w:t>
      </w:r>
    </w:p>
    <w:p>
      <w:pPr>
        <w:pStyle w:val="Normal"/>
        <w:keepNext w:val="true"/>
        <w:keepLines/>
        <w:numPr>
          <w:ilvl w:val="0"/>
          <w:numId w:val="0"/>
        </w:numPr>
        <w:spacing w:lineRule="auto" w:line="247" w:before="0" w:after="5"/>
        <w:ind w:left="31" w:hanging="10"/>
        <w:jc w:val="center"/>
        <w:outlineLvl w:val="0"/>
        <w:rPr>
          <w:rFonts w:ascii="Arial" w:hAnsi="Arial" w:eastAsia="Times New Roman" w:cs="Arial"/>
          <w:b/>
          <w:b/>
          <w:sz w:val="22"/>
        </w:rPr>
      </w:pPr>
      <w:r>
        <w:rPr>
          <w:rFonts w:eastAsia="Times New Roman" w:cs="Arial" w:ascii="Arial" w:hAnsi="Arial"/>
          <w:b/>
          <w:sz w:val="22"/>
        </w:rPr>
        <w:t>Chapitre I - Rapport</w:t>
      </w:r>
    </w:p>
    <w:p>
      <w:pPr>
        <w:pStyle w:val="ListParagraph"/>
        <w:keepNext w:val="true"/>
        <w:keepLines/>
        <w:numPr>
          <w:ilvl w:val="0"/>
          <w:numId w:val="0"/>
        </w:numPr>
        <w:spacing w:lineRule="auto" w:line="247" w:before="0" w:after="5"/>
        <w:ind w:left="360" w:hanging="0"/>
        <w:contextualSpacing/>
        <w:outlineLvl w:val="0"/>
        <w:rPr>
          <w:rFonts w:ascii="Arial" w:hAnsi="Arial" w:eastAsia="Times New Roman" w:cs="Arial"/>
          <w:b/>
          <w:b/>
          <w:sz w:val="22"/>
        </w:rPr>
      </w:pPr>
      <w:r>
        <w:rPr>
          <w:rFonts w:eastAsia="Times New Roman" w:cs="Arial" w:ascii="Arial" w:hAnsi="Arial"/>
          <w:b/>
          <w:sz w:val="22"/>
        </w:rPr>
      </w:r>
    </w:p>
    <w:p>
      <w:pPr>
        <w:pStyle w:val="ListParagraph"/>
        <w:keepNext w:val="true"/>
        <w:keepLines/>
        <w:numPr>
          <w:ilvl w:val="0"/>
          <w:numId w:val="1"/>
        </w:numPr>
        <w:spacing w:lineRule="auto" w:line="247" w:before="0" w:after="5"/>
        <w:contextualSpacing/>
        <w:outlineLvl w:val="0"/>
        <w:rPr>
          <w:rFonts w:ascii="Arial" w:hAnsi="Arial" w:eastAsia="Times New Roman" w:cs="Arial"/>
          <w:b/>
          <w:b/>
          <w:sz w:val="22"/>
        </w:rPr>
      </w:pPr>
      <w:r>
        <w:rPr>
          <w:rFonts w:eastAsia="Times New Roman" w:cs="Arial" w:ascii="Arial" w:hAnsi="Arial"/>
          <w:b/>
          <w:sz w:val="22"/>
        </w:rPr>
        <w:t>Généralités</w:t>
      </w:r>
    </w:p>
    <w:p>
      <w:pPr>
        <w:pStyle w:val="Normal"/>
        <w:keepNext w:val="true"/>
        <w:keepLines/>
        <w:numPr>
          <w:ilvl w:val="0"/>
          <w:numId w:val="0"/>
        </w:numPr>
        <w:spacing w:lineRule="auto" w:line="247" w:before="0" w:after="5"/>
        <w:ind w:left="0" w:hanging="0"/>
        <w:outlineLvl w:val="0"/>
        <w:rPr>
          <w:rFonts w:ascii="Arial" w:hAnsi="Arial" w:eastAsia="Times New Roman" w:cs="Arial"/>
          <w:b/>
          <w:b/>
          <w:sz w:val="22"/>
        </w:rPr>
      </w:pPr>
      <w:r>
        <w:rPr>
          <w:rFonts w:eastAsia="Times New Roman" w:cs="Arial" w:ascii="Arial" w:hAnsi="Arial"/>
          <w:b/>
          <w:sz w:val="22"/>
        </w:rPr>
        <w:t xml:space="preserve"> </w:t>
      </w:r>
    </w:p>
    <w:p>
      <w:pPr>
        <w:pStyle w:val="ListParagraph"/>
        <w:keepNext w:val="true"/>
        <w:keepLines/>
        <w:numPr>
          <w:ilvl w:val="1"/>
          <w:numId w:val="1"/>
        </w:numPr>
        <w:spacing w:lineRule="auto" w:line="247" w:before="0" w:after="5"/>
        <w:contextualSpacing/>
        <w:outlineLvl w:val="0"/>
        <w:rPr>
          <w:rFonts w:ascii="Arial" w:hAnsi="Arial" w:eastAsia="Times New Roman" w:cs="Arial"/>
          <w:b/>
          <w:b/>
          <w:sz w:val="22"/>
        </w:rPr>
      </w:pPr>
      <w:r>
        <w:rPr>
          <w:rFonts w:eastAsia="Times New Roman" w:cs="Arial" w:ascii="Arial" w:hAnsi="Arial"/>
          <w:b/>
          <w:sz w:val="22"/>
        </w:rPr>
        <w:t>Préambule</w:t>
      </w:r>
    </w:p>
    <w:p>
      <w:pPr>
        <w:pStyle w:val="Normal"/>
        <w:keepNext w:val="true"/>
        <w:keepLines/>
        <w:numPr>
          <w:ilvl w:val="0"/>
          <w:numId w:val="0"/>
        </w:numPr>
        <w:spacing w:lineRule="auto" w:line="247" w:before="0" w:after="5"/>
        <w:ind w:left="31" w:hanging="10"/>
        <w:outlineLvl w:val="0"/>
        <w:rPr>
          <w:rFonts w:ascii="Arial" w:hAnsi="Arial" w:eastAsia="Times New Roman" w:cs="Arial"/>
          <w:b/>
          <w:b/>
          <w:sz w:val="22"/>
        </w:rPr>
      </w:pPr>
      <w:r>
        <w:rPr>
          <w:rFonts w:eastAsia="Times New Roman" w:cs="Arial" w:ascii="Arial" w:hAnsi="Arial"/>
          <w:b/>
          <w:sz w:val="22"/>
        </w:rPr>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t xml:space="preserve">L'expropriation est une procédure qui permet à une personne publique de contraindre un particulier ou une personne morale à céder son bien immobilier, moyennant le paiement d'une indemnité. </w:t>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t xml:space="preserve">Pour pouvoir recourir à l'expropriation, la personne publique doit respecter une procédure qui se déroule en 2 temps : </w:t>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t>Une 1</w:t>
      </w:r>
      <w:r>
        <w:rPr>
          <w:rFonts w:eastAsia="Times New Roman" w:cs="Arial" w:ascii="Arial" w:hAnsi="Arial"/>
          <w:bCs/>
          <w:sz w:val="22"/>
          <w:vertAlign w:val="superscript"/>
        </w:rPr>
        <w:t>ère</w:t>
      </w:r>
      <w:r>
        <w:rPr>
          <w:rFonts w:eastAsia="Times New Roman" w:cs="Arial" w:ascii="Arial" w:hAnsi="Arial"/>
          <w:bCs/>
          <w:sz w:val="22"/>
        </w:rPr>
        <w:t xml:space="preserve"> phase administrative préparatoire au cours de laquelle la personne publique doit démontrer l'utilité publique de son projet.</w:t>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t>Une 2</w:t>
      </w:r>
      <w:r>
        <w:rPr>
          <w:rFonts w:eastAsia="Times New Roman" w:cs="Arial" w:ascii="Arial" w:hAnsi="Arial"/>
          <w:bCs/>
          <w:sz w:val="22"/>
          <w:vertAlign w:val="superscript"/>
        </w:rPr>
        <w:t>ème</w:t>
      </w:r>
      <w:r>
        <w:rPr>
          <w:rFonts w:eastAsia="Times New Roman" w:cs="Arial" w:ascii="Arial" w:hAnsi="Arial"/>
          <w:bCs/>
          <w:sz w:val="22"/>
        </w:rPr>
        <w:t xml:space="preserve"> phase judiciaire servant à garantir le transfert de propriété à la personne publique et le paiement d'une indemnité à la personne expropriée.</w:t>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t>Entre la décision de lancer une procédure d'expropriation et la réalisation du transfert de propriété, il peut se passer un temps très variable (de moins d'1 an à plusieurs années).</w:t>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u w:val="single"/>
        </w:rPr>
      </w:pPr>
      <w:r>
        <w:rPr>
          <w:rFonts w:eastAsia="Times New Roman" w:cs="Arial" w:ascii="Arial" w:hAnsi="Arial"/>
          <w:bCs/>
          <w:sz w:val="22"/>
          <w:u w:val="single"/>
        </w:rPr>
        <w:t>1</w:t>
      </w:r>
      <w:r>
        <w:rPr>
          <w:rFonts w:eastAsia="Times New Roman" w:cs="Arial" w:ascii="Arial" w:hAnsi="Arial"/>
          <w:bCs/>
          <w:sz w:val="22"/>
          <w:u w:val="single"/>
          <w:vertAlign w:val="superscript"/>
        </w:rPr>
        <w:t>ère</w:t>
      </w:r>
      <w:r>
        <w:rPr>
          <w:rFonts w:eastAsia="Times New Roman" w:cs="Arial" w:ascii="Arial" w:hAnsi="Arial"/>
          <w:bCs/>
          <w:sz w:val="22"/>
          <w:u w:val="single"/>
        </w:rPr>
        <w:t xml:space="preserve"> étape : La phase administrative</w:t>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u w:val="single"/>
        </w:rPr>
      </w:pPr>
      <w:r>
        <w:rPr>
          <w:rFonts w:eastAsia="Times New Roman" w:cs="Arial" w:ascii="Arial" w:hAnsi="Arial"/>
          <w:bCs/>
          <w:sz w:val="22"/>
          <w:u w:val="single"/>
        </w:rPr>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t>Elle se déroule en 2 phases :</w:t>
      </w:r>
    </w:p>
    <w:p>
      <w:pPr>
        <w:pStyle w:val="Normal"/>
        <w:keepNext w:val="true"/>
        <w:keepLines/>
        <w:numPr>
          <w:ilvl w:val="0"/>
          <w:numId w:val="9"/>
        </w:numPr>
        <w:spacing w:lineRule="auto" w:line="247" w:before="0" w:after="5"/>
        <w:jc w:val="both"/>
        <w:outlineLvl w:val="0"/>
        <w:rPr>
          <w:rFonts w:ascii="Arial" w:hAnsi="Arial" w:eastAsia="Times New Roman" w:cs="Arial"/>
          <w:bCs/>
          <w:sz w:val="22"/>
        </w:rPr>
      </w:pPr>
      <w:r>
        <w:rPr>
          <w:rFonts w:eastAsia="Times New Roman" w:cs="Arial" w:ascii="Arial" w:hAnsi="Arial"/>
          <w:bCs/>
          <w:sz w:val="22"/>
        </w:rPr>
        <w:t>Une phase d’enquête publique destinée à informer le public et à recueillir ses observations.</w:t>
      </w:r>
    </w:p>
    <w:p>
      <w:pPr>
        <w:pStyle w:val="Normal"/>
        <w:keepNext w:val="true"/>
        <w:keepLines/>
        <w:numPr>
          <w:ilvl w:val="0"/>
          <w:numId w:val="9"/>
        </w:numPr>
        <w:spacing w:lineRule="auto" w:line="247" w:before="0" w:after="5"/>
        <w:jc w:val="both"/>
        <w:outlineLvl w:val="0"/>
        <w:rPr>
          <w:rFonts w:ascii="Arial" w:hAnsi="Arial" w:eastAsia="Times New Roman" w:cs="Arial"/>
          <w:bCs/>
          <w:sz w:val="22"/>
        </w:rPr>
      </w:pPr>
      <w:r>
        <w:rPr>
          <w:rFonts w:eastAsia="Times New Roman" w:cs="Arial" w:ascii="Arial" w:hAnsi="Arial"/>
          <w:bCs/>
          <w:sz w:val="22"/>
        </w:rPr>
        <w:t>Puis une phase d’enquête parcellaire permettant d’identifier le propriétaire concerné et lui permettre de savoir avec exactitude dans quelle mesure son bien sera concerné par l’expropriation.</w:t>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t>Dans le cas qui concerne le projet, elles sont menées de manière conjointe, car l’expropriant est en mesure d’identifier les parcelles et les noms des propriétaires à exproprier.</w:t>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t xml:space="preserve">L'expropriation ne peut intervenir que si elle présente une </w:t>
      </w:r>
      <w:r>
        <w:rPr>
          <w:rFonts w:eastAsia="Times New Roman" w:cs="Arial" w:ascii="Arial" w:hAnsi="Arial"/>
          <w:b/>
          <w:sz w:val="22"/>
        </w:rPr>
        <w:t>utilité publique</w:t>
      </w:r>
      <w:r>
        <w:rPr>
          <w:rFonts w:eastAsia="Times New Roman" w:cs="Arial" w:ascii="Arial" w:hAnsi="Arial"/>
          <w:bCs/>
          <w:sz w:val="22"/>
        </w:rPr>
        <w:t>.</w:t>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t>Au vu des résultats de l'enquête du commissaire-enquêteur, si l'utilité publique du projet est identifiée, le préfet prononce une déclaration d'utilité publique (DUP).</w:t>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
          <w:sz w:val="22"/>
        </w:rPr>
        <w:t>L'enquête parcellaire</w:t>
      </w:r>
      <w:r>
        <w:rPr>
          <w:rFonts w:eastAsia="Times New Roman" w:cs="Arial" w:ascii="Arial" w:hAnsi="Arial"/>
          <w:bCs/>
          <w:sz w:val="22"/>
        </w:rPr>
        <w:t xml:space="preserve"> est fondée sur un dossier transmis par la personne publique au préfet. Ce dossier comprend notamment un plan précis des parcelles à exproprier.</w:t>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t>Une fois la transmission de ce dossier, le préfet prend un arrêté qui ouvre l'enquête parcellaire. L'enquête est conduite par un commissaire-enquêteur désigné par le préfet ou le président du tribunal administratif, par dérogation, en cas d’enquête conjointe.</w:t>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t>La personne publique doit informer personnellement le propriétaire du bien de l'ouverture de cette enquête par lettre recommandée avec accusé de réception ou acte d’huissier</w:t>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t>Au vu des résultats de l'enquête du commissaire-enquêteur, le préfet peut déclarer cessibles les parcelles en prenant un arrêté de cessibilité.</w:t>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u w:val="single"/>
        </w:rPr>
      </w:pPr>
      <w:r>
        <w:rPr>
          <w:rFonts w:eastAsia="Times New Roman" w:cs="Arial" w:ascii="Arial" w:hAnsi="Arial"/>
          <w:bCs/>
          <w:sz w:val="22"/>
          <w:u w:val="single"/>
        </w:rPr>
        <w:t>2e étape : La phase judiciaire</w:t>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u w:val="single"/>
        </w:rPr>
      </w:pPr>
      <w:r>
        <w:rPr>
          <w:rFonts w:eastAsia="Times New Roman" w:cs="Arial" w:ascii="Arial" w:hAnsi="Arial"/>
          <w:bCs/>
          <w:sz w:val="22"/>
          <w:u w:val="single"/>
        </w:rPr>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t>Une fois que le projet d'expropriation a été déclaré d'utilité publique, et que l'arrêté de cessibilité a été notifié au propriétaire du bien, le transfert de propriété peut avoir lieu.</w:t>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t>Ce transfert de propriété peut se faire par accord amiable entre la personne publique et la personne expropriée.</w:t>
      </w:r>
    </w:p>
    <w:p>
      <w:pPr>
        <w:pStyle w:val="Normal"/>
        <w:keepNext w:val="true"/>
        <w:keepLines/>
        <w:numPr>
          <w:ilvl w:val="0"/>
          <w:numId w:val="0"/>
        </w:numPr>
        <w:spacing w:lineRule="auto" w:line="247" w:before="0" w:after="5"/>
        <w:ind w:left="21" w:hanging="0"/>
        <w:jc w:val="both"/>
        <w:outlineLvl w:val="0"/>
        <w:rPr>
          <w:rFonts w:ascii="Arial" w:hAnsi="Arial" w:eastAsia="Times New Roman" w:cs="Arial"/>
          <w:bCs/>
          <w:sz w:val="22"/>
        </w:rPr>
      </w:pPr>
      <w:r>
        <w:rPr>
          <w:rFonts w:eastAsia="Times New Roman" w:cs="Arial" w:ascii="Arial" w:hAnsi="Arial"/>
          <w:bCs/>
          <w:sz w:val="22"/>
        </w:rPr>
        <w:t>En l'absence d'accord, la personne publique peut saisir le juge de l'expropriation qui prononce une ordonnance d'expropriation qui est notifiée à l'exproprié par lettre recommandée avec avis de réception.</w:t>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t>L'ordonnance d'expropriation a pour effet de transférer juridiquement la propriété du bien et les droits réels immobiliers (usufruit, servitude…) de l'exproprié à la personne publique.</w:t>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t>À ce stade, l'exproprié ne peut donc plus vendre, ni faire de donation, ni constituer d'hypothèque sur le bien. Le bail signé par un locataire occupant prend également fin.</w:t>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t xml:space="preserve">En revanche, tant qu'il n'a pas été indemnisé par la personne publique, l'exproprié conserve la jouissance du bien. </w:t>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t>La personne publique doit proposer une offre d'indemnisation à l'exproprié. Cette offre doit être faite par lettre recommandée avec accusé de réception ou par acte d'huissier.</w:t>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t>À partir de la réception de ce courrier, l'exproprié a 1 mois pour faire connaître à la personne publique, par lettre recommandée avec avis de réception son acceptation ou le montant détaillé de sa demande.</w:t>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t>Dès l'arrêté de cessibilité, l'exproprié peut également mettre en demeure l'expropriant de lui adresser une offre d'indemnisation. Sans réponse dans le délai d'un mois, il peut saisir le juge de l'expropriation.</w:t>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t>En l'absence d'accord amiable, le juge de l'expropriation doit être saisi par l'une ou l'autre des parties pour qu'il fixe une indemnité.</w:t>
      </w:r>
    </w:p>
    <w:p>
      <w:pPr>
        <w:pStyle w:val="Normal"/>
        <w:keepNext w:val="true"/>
        <w:keepLines/>
        <w:numPr>
          <w:ilvl w:val="0"/>
          <w:numId w:val="0"/>
        </w:numPr>
        <w:spacing w:lineRule="auto" w:line="247" w:before="0" w:after="5"/>
        <w:ind w:left="31" w:hanging="10"/>
        <w:jc w:val="both"/>
        <w:outlineLvl w:val="0"/>
        <w:rPr>
          <w:rFonts w:ascii="Arial" w:hAnsi="Arial" w:eastAsia="Times New Roman" w:cs="Arial"/>
          <w:bCs/>
          <w:sz w:val="22"/>
        </w:rPr>
      </w:pPr>
      <w:r>
        <w:rPr>
          <w:rFonts w:eastAsia="Times New Roman" w:cs="Arial" w:ascii="Arial" w:hAnsi="Arial"/>
          <w:bCs/>
          <w:sz w:val="22"/>
        </w:rPr>
        <w:t>À noter : la personne publique doit également proposer une indemnisation au locataire occupant et lui proposer une solution de relogement, au moins 6 mois avant son départ.</w:t>
      </w:r>
    </w:p>
    <w:p>
      <w:pPr>
        <w:pStyle w:val="Normal"/>
        <w:spacing w:lineRule="auto" w:line="259" w:before="0" w:after="0"/>
        <w:ind w:left="0" w:hanging="0"/>
        <w:jc w:val="both"/>
        <w:rPr>
          <w:rFonts w:ascii="Arial" w:hAnsi="Arial" w:eastAsia="Times New Roman" w:cs="Arial"/>
          <w:sz w:val="22"/>
        </w:rPr>
      </w:pPr>
      <w:r>
        <w:rPr>
          <w:rFonts w:eastAsia="Times New Roman" w:cs="Arial" w:ascii="Arial" w:hAnsi="Arial"/>
          <w:sz w:val="22"/>
        </w:rPr>
      </w:r>
    </w:p>
    <w:p>
      <w:pPr>
        <w:pStyle w:val="ListParagraph"/>
        <w:numPr>
          <w:ilvl w:val="1"/>
          <w:numId w:val="1"/>
        </w:numPr>
        <w:spacing w:lineRule="auto" w:line="247" w:before="0" w:after="5"/>
        <w:contextualSpacing/>
        <w:jc w:val="both"/>
        <w:rPr>
          <w:rFonts w:ascii="Arial" w:hAnsi="Arial" w:eastAsia="Times New Roman" w:cs="Arial"/>
          <w:b/>
          <w:b/>
          <w:bCs/>
          <w:sz w:val="22"/>
        </w:rPr>
      </w:pPr>
      <w:r>
        <w:rPr>
          <w:rFonts w:eastAsia="Times New Roman" w:cs="Arial" w:ascii="Arial" w:hAnsi="Arial"/>
          <w:b/>
          <w:bCs/>
          <w:sz w:val="22"/>
        </w:rPr>
        <w:t>Cadre général du projet</w:t>
      </w:r>
    </w:p>
    <w:p>
      <w:pPr>
        <w:pStyle w:val="Normal"/>
        <w:spacing w:lineRule="auto" w:line="247" w:before="0" w:after="5"/>
        <w:jc w:val="both"/>
        <w:rPr>
          <w:rFonts w:ascii="Arial" w:hAnsi="Arial" w:eastAsia="Times New Roman" w:cs="Arial"/>
          <w:sz w:val="22"/>
          <w:u w:val="single"/>
        </w:rPr>
      </w:pPr>
      <w:r>
        <w:rPr>
          <w:rFonts w:eastAsia="Times New Roman" w:cs="Arial" w:ascii="Arial" w:hAnsi="Arial"/>
          <w:sz w:val="22"/>
          <w:u w:val="single"/>
        </w:rPr>
      </w:r>
    </w:p>
    <w:p>
      <w:pPr>
        <w:pStyle w:val="Normal"/>
        <w:spacing w:lineRule="auto" w:line="247" w:before="0" w:after="5"/>
        <w:jc w:val="both"/>
        <w:rPr>
          <w:rFonts w:ascii="Arial" w:hAnsi="Arial" w:eastAsia="Times New Roman" w:cs="Arial"/>
          <w:sz w:val="22"/>
        </w:rPr>
      </w:pPr>
      <w:r>
        <w:rPr>
          <w:rFonts w:eastAsia="Times New Roman" w:cs="Arial" w:ascii="Arial" w:hAnsi="Arial"/>
          <w:sz w:val="22"/>
        </w:rPr>
        <w:t>La ville de Gonesse est située à 16 km au Nord Est de Paris entre les aéroports du Bourget et de Roissy Charles de Gaulle, à proximité de l’intersection des autoroutes A1 et A3.</w:t>
      </w:r>
    </w:p>
    <w:p>
      <w:pPr>
        <w:pStyle w:val="Normal"/>
        <w:spacing w:lineRule="auto" w:line="247" w:before="0" w:after="5"/>
        <w:jc w:val="both"/>
        <w:rPr>
          <w:rFonts w:ascii="Arial" w:hAnsi="Arial" w:eastAsia="Times New Roman" w:cs="Arial"/>
          <w:sz w:val="22"/>
        </w:rPr>
      </w:pPr>
      <w:r>
        <mc:AlternateContent>
          <mc:Choice Requires="wps">
            <w:drawing>
              <wp:anchor behindDoc="0" distT="0" distB="0" distL="114300" distR="114300" simplePos="0" locked="0" layoutInCell="0" allowOverlap="1" relativeHeight="33">
                <wp:simplePos x="0" y="0"/>
                <wp:positionH relativeFrom="column">
                  <wp:posOffset>2496185</wp:posOffset>
                </wp:positionH>
                <wp:positionV relativeFrom="paragraph">
                  <wp:posOffset>1671955</wp:posOffset>
                </wp:positionV>
                <wp:extent cx="23495" cy="13970"/>
                <wp:effectExtent l="0" t="0" r="0" b="0"/>
                <wp:wrapNone/>
                <wp:docPr id="2" name="Encre 5"/>
                <a:graphic xmlns:a="http://schemas.openxmlformats.org/drawingml/2006/main">
                  <a:graphicData uri="http://schemas.openxmlformats.org/drawingml/2006/picture">
                    <pic:pic xmlns:pic="http://schemas.openxmlformats.org/drawingml/2006/picture">
                      <pic:nvPicPr>
                        <pic:cNvPr id="0" name="Encre 5" descr=""/>
                        <pic:cNvPicPr/>
                      </pic:nvPicPr>
                      <pic:blipFill>
                        <a:blip r:embed="rId7"/>
                        <a:stretch/>
                      </pic:blipFill>
                      <pic:spPr>
                        <a:xfrm>
                          <a:off x="0" y="0"/>
                          <a:ext cx="23040" cy="13320"/>
                        </a:xfrm>
                        <a:prstGeom prst="rect">
                          <a:avLst/>
                        </a:prstGeom>
                        <a:ln w="0">
                          <a:noFill/>
                        </a:ln>
                      </pic:spPr>
                    </pic:pic>
                  </a:graphicData>
                </a:graphic>
              </wp:anchor>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Encre 5" stroked="f" style="position:absolute;margin-left:196.55pt;margin-top:131.65pt;width:1.75pt;height:1pt;mso-wrap-style:none;v-text-anchor:middle" type="shapetype_75">
                <v:imagedata r:id="rId7" o:detectmouseclick="t"/>
                <v:stroke color="#3465a4" joinstyle="round" endcap="flat"/>
                <w10:wrap type="none"/>
              </v:shape>
            </w:pict>
          </mc:Fallback>
        </mc:AlternateContent>
        <mc:AlternateContent>
          <mc:Choice Requires="wps">
            <w:drawing>
              <wp:anchor behindDoc="0" distT="0" distB="0" distL="114300" distR="114300" simplePos="0" locked="0" layoutInCell="0" allowOverlap="1" relativeHeight="34">
                <wp:simplePos x="0" y="0"/>
                <wp:positionH relativeFrom="column">
                  <wp:posOffset>1363345</wp:posOffset>
                </wp:positionH>
                <wp:positionV relativeFrom="paragraph">
                  <wp:posOffset>969010</wp:posOffset>
                </wp:positionV>
                <wp:extent cx="2468880" cy="2226945"/>
                <wp:effectExtent l="0" t="0" r="0" b="0"/>
                <wp:wrapNone/>
                <wp:docPr id="3" name="Encre 8"/>
                <a:graphic xmlns:a="http://schemas.openxmlformats.org/drawingml/2006/main">
                  <a:graphicData uri="http://schemas.openxmlformats.org/drawingml/2006/picture">
                    <pic:pic xmlns:pic="http://schemas.openxmlformats.org/drawingml/2006/picture">
                      <pic:nvPicPr>
                        <pic:cNvPr id="1" name="Encre 8" descr=""/>
                        <pic:cNvPicPr/>
                      </pic:nvPicPr>
                      <pic:blipFill>
                        <a:blip r:embed="rId8"/>
                        <a:stretch/>
                      </pic:blipFill>
                      <pic:spPr>
                        <a:xfrm>
                          <a:off x="0" y="0"/>
                          <a:ext cx="2468160" cy="2226240"/>
                        </a:xfrm>
                        <a:prstGeom prst="rect">
                          <a:avLst/>
                        </a:prstGeom>
                        <a:ln w="0">
                          <a:noFill/>
                        </a:ln>
                      </pic:spPr>
                    </pic:pic>
                  </a:graphicData>
                </a:graphic>
              </wp:anchor>
            </w:drawing>
          </mc:Choice>
          <mc:Fallback>
            <w:pict>
              <v:shape id="shape_0" ID="Encre 8" stroked="f" style="position:absolute;margin-left:107.35pt;margin-top:76.3pt;width:194.3pt;height:175.25pt;mso-wrap-style:none;v-text-anchor:middle" type="shapetype_75">
                <v:imagedata r:id="rId8" o:detectmouseclick="t"/>
                <v:stroke color="#3465a4" joinstyle="round" endcap="flat"/>
                <w10:wrap type="none"/>
              </v:shape>
            </w:pict>
          </mc:Fallback>
        </mc:AlternateContent>
      </w:r>
      <w:r>
        <w:rPr>
          <w:rFonts w:eastAsia="Times New Roman" w:cs="Arial" w:ascii="Arial" w:hAnsi="Arial"/>
          <w:sz w:val="22"/>
        </w:rPr>
        <w:t xml:space="preserve"> </w:t>
      </w:r>
      <w:r>
        <w:rPr/>
        <w:drawing>
          <wp:inline distT="0" distB="0" distL="0" distR="0">
            <wp:extent cx="5924550" cy="3186430"/>
            <wp:effectExtent l="0" t="0" r="0" b="0"/>
            <wp:docPr id="4" name="Image 25" descr="Une image contenant carte, texte, atla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25" descr="Une image contenant carte, texte, atlas&#10;&#10;Description générée automatiquement"/>
                    <pic:cNvPicPr>
                      <a:picLocks noChangeAspect="1" noChangeArrowheads="1"/>
                    </pic:cNvPicPr>
                  </pic:nvPicPr>
                  <pic:blipFill>
                    <a:blip r:embed="rId9"/>
                    <a:stretch>
                      <a:fillRect/>
                    </a:stretch>
                  </pic:blipFill>
                  <pic:spPr bwMode="auto">
                    <a:xfrm>
                      <a:off x="0" y="0"/>
                      <a:ext cx="5924550" cy="3186430"/>
                    </a:xfrm>
                    <a:prstGeom prst="rect">
                      <a:avLst/>
                    </a:prstGeom>
                  </pic:spPr>
                </pic:pic>
              </a:graphicData>
            </a:graphic>
          </wp:inline>
        </w:drawing>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Normal"/>
        <w:spacing w:lineRule="auto" w:line="247" w:before="0" w:after="5"/>
        <w:jc w:val="both"/>
        <w:rPr>
          <w:rFonts w:ascii="Arial" w:hAnsi="Arial" w:eastAsia="Times New Roman" w:cs="Arial"/>
          <w:sz w:val="22"/>
        </w:rPr>
      </w:pPr>
      <w:r>
        <w:rPr>
          <w:rFonts w:eastAsia="Times New Roman" w:cs="Arial" w:ascii="Arial" w:hAnsi="Arial"/>
          <w:sz w:val="22"/>
        </w:rPr>
        <w:t xml:space="preserve"> </w:t>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BodyText3"/>
        <w:rPr>
          <w:rFonts w:ascii="Arial" w:hAnsi="Arial"/>
        </w:rPr>
      </w:pPr>
      <w:r>
        <w:rPr>
          <w:rFonts w:ascii="Arial" w:hAnsi="Arial"/>
        </w:rPr>
        <w:t xml:space="preserve">La </w:t>
      </w:r>
      <w:r>
        <w:rPr>
          <w:rFonts w:ascii="Arial" w:hAnsi="Arial"/>
          <w:lang w:val="fr-FR"/>
        </w:rPr>
        <w:t>C</w:t>
      </w:r>
      <w:r>
        <w:rPr>
          <w:rFonts w:ascii="Arial" w:hAnsi="Arial"/>
        </w:rPr>
        <w:t>ommune</w:t>
      </w:r>
      <w:r>
        <w:rPr>
          <w:rFonts w:ascii="Arial" w:hAnsi="Arial"/>
          <w:lang w:val="fr-FR"/>
        </w:rPr>
        <w:t xml:space="preserve"> </w:t>
      </w:r>
      <w:r>
        <w:rPr>
          <w:rFonts w:ascii="Arial" w:hAnsi="Arial"/>
        </w:rPr>
        <w:t xml:space="preserve"> fait partie de la Communauté d’Agglomération de Roissy Pays de France créée en date du 1er janvier 2016.</w:t>
      </w:r>
    </w:p>
    <w:p>
      <w:pPr>
        <w:pStyle w:val="BodyText3"/>
        <w:rPr>
          <w:rFonts w:ascii="Arial" w:hAnsi="Arial"/>
        </w:rPr>
      </w:pPr>
      <w:r>
        <w:rPr>
          <w:rFonts w:ascii="Arial" w:hAnsi="Arial"/>
        </w:rPr>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t xml:space="preserve">Son périmètre s’étend sur 2 027 hectares et la ville s’est développée au fil des ans sur un terroir agricole qui couvre encore plus de la moitié du territoire, dont une partie est maintenant protégée dans le cadre du périmètre régional d’intervention foncière (PRIF) sur la zone dite du « Triangle de Gonesse ». </w:t>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t>Le PLU de 2017, dont la troisième modification date de février 2023, présente les orientations de la ville en matière d’urbanisme.</w:t>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Normal"/>
        <w:rPr>
          <w:rFonts w:ascii="Arial" w:hAnsi="Arial" w:cs="Arial"/>
          <w:sz w:val="22"/>
        </w:rPr>
      </w:pPr>
      <w:r>
        <w:rPr/>
        <w:drawing>
          <wp:inline distT="0" distB="0" distL="0" distR="0">
            <wp:extent cx="5760720" cy="4075430"/>
            <wp:effectExtent l="0" t="0" r="0" b="0"/>
            <wp:docPr id="5" name="Image 1" descr="Une image contenant carte, texte, diagramme, atla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1" descr="Une image contenant carte, texte, diagramme, atlas&#10;&#10;Description générée automatiquement"/>
                    <pic:cNvPicPr>
                      <a:picLocks noChangeAspect="1" noChangeArrowheads="1"/>
                    </pic:cNvPicPr>
                  </pic:nvPicPr>
                  <pic:blipFill>
                    <a:blip r:embed="rId10"/>
                    <a:stretch>
                      <a:fillRect/>
                    </a:stretch>
                  </pic:blipFill>
                  <pic:spPr bwMode="auto">
                    <a:xfrm>
                      <a:off x="0" y="0"/>
                      <a:ext cx="5760720" cy="4075430"/>
                    </a:xfrm>
                    <a:prstGeom prst="rect">
                      <a:avLst/>
                    </a:prstGeom>
                  </pic:spPr>
                </pic:pic>
              </a:graphicData>
            </a:graphic>
          </wp:inline>
        </w:drawing>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Normal"/>
        <w:rPr>
          <w:rFonts w:ascii="Arial" w:hAnsi="Arial" w:cs="Arial"/>
          <w:sz w:val="22"/>
        </w:rPr>
      </w:pPr>
      <w:r>
        <w:rPr>
          <w:rFonts w:eastAsia="Times New Roman" w:cs="Arial" w:ascii="Arial" w:hAnsi="Arial"/>
          <w:sz w:val="22"/>
        </w:rPr>
        <w:t xml:space="preserve">Le centre ancien de la commune est reconnu Site Patrimonial Remarquable (SPR) depuis 2004, </w:t>
      </w:r>
      <w:r>
        <w:rPr>
          <w:rFonts w:cs="Arial" w:ascii="Arial" w:hAnsi="Arial"/>
          <w:sz w:val="22"/>
        </w:rPr>
        <w:t>par transformation de la Zone de Protection du Patrimoine Architectural Urbain et Paysager. Cependant ce quartier a connu depuis 2004 de profondes mutations au travers d’opérations de renouvellement urbain inscrites dans la ZAC Multisites et la ZAC du Centre Ancien. D’autres opérations de renouvellement urbain, dans le diffus, ont également été engagées entre 2017 et 2019.</w:t>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b/>
          <w:bCs/>
          <w:sz w:val="22"/>
        </w:rPr>
        <w:t xml:space="preserve">Les projets structurants </w:t>
      </w:r>
      <w:r>
        <w:rPr>
          <w:rFonts w:eastAsia="Times New Roman" w:cs="Arial" w:ascii="Arial" w:hAnsi="Arial"/>
          <w:sz w:val="22"/>
        </w:rPr>
        <w:t>(PLU 2017)</w:t>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Normal"/>
        <w:spacing w:lineRule="auto" w:line="247" w:before="0" w:after="5"/>
        <w:ind w:left="0" w:hanging="0"/>
        <w:jc w:val="both"/>
        <w:rPr>
          <w:rFonts w:ascii="Arial" w:hAnsi="Arial" w:eastAsia="Times New Roman" w:cs="Arial"/>
          <w:sz w:val="22"/>
        </w:rPr>
      </w:pPr>
      <w:r>
        <w:rPr/>
        <w:drawing>
          <wp:inline distT="0" distB="0" distL="0" distR="0">
            <wp:extent cx="5759450" cy="5759450"/>
            <wp:effectExtent l="0" t="0" r="0" b="0"/>
            <wp:docPr id="6" name="Image 868" descr="Une image contenant texte, carte, capture d’écra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868" descr="Une image contenant texte, carte, capture d’écran, diagramme&#10;&#10;Description générée automatiquement"/>
                    <pic:cNvPicPr>
                      <a:picLocks noChangeAspect="1" noChangeArrowheads="1"/>
                    </pic:cNvPicPr>
                  </pic:nvPicPr>
                  <pic:blipFill>
                    <a:blip r:embed="rId11"/>
                    <a:stretch>
                      <a:fillRect/>
                    </a:stretch>
                  </pic:blipFill>
                  <pic:spPr bwMode="auto">
                    <a:xfrm>
                      <a:off x="0" y="0"/>
                      <a:ext cx="5759450" cy="5759450"/>
                    </a:xfrm>
                    <a:prstGeom prst="rect">
                      <a:avLst/>
                    </a:prstGeom>
                  </pic:spPr>
                </pic:pic>
              </a:graphicData>
            </a:graphic>
          </wp:inline>
        </w:drawing>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t>Le projet dit « des Marronniers » qui concerne notre enquête est bien identifié dans ces documents d’urbanisme :</w:t>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ListParagraph"/>
        <w:numPr>
          <w:ilvl w:val="0"/>
          <w:numId w:val="14"/>
        </w:numPr>
        <w:spacing w:lineRule="auto" w:line="247" w:before="0" w:after="5"/>
        <w:contextualSpacing/>
        <w:jc w:val="both"/>
        <w:rPr>
          <w:rFonts w:ascii="Arial" w:hAnsi="Arial" w:eastAsia="Times New Roman" w:cs="Arial"/>
          <w:sz w:val="22"/>
        </w:rPr>
      </w:pPr>
      <w:r>
        <w:rPr>
          <w:rFonts w:eastAsia="Times New Roman" w:cs="Arial" w:ascii="Arial" w:hAnsi="Arial"/>
          <w:sz w:val="22"/>
        </w:rPr>
        <w:t>Zone UGcdt sur le plan de zonage</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ListParagraph"/>
        <w:numPr>
          <w:ilvl w:val="0"/>
          <w:numId w:val="14"/>
        </w:numPr>
        <w:spacing w:lineRule="auto" w:line="247" w:before="0" w:after="5"/>
        <w:contextualSpacing/>
        <w:jc w:val="both"/>
        <w:rPr>
          <w:rFonts w:ascii="Arial" w:hAnsi="Arial" w:eastAsia="Times New Roman" w:cs="Arial"/>
          <w:sz w:val="22"/>
        </w:rPr>
      </w:pPr>
      <w:r>
        <w:rPr>
          <w:rFonts w:eastAsia="Times New Roman" w:cs="Arial" w:ascii="Arial" w:hAnsi="Arial"/>
          <w:sz w:val="22"/>
        </w:rPr>
        <w:t>Zone 3 (en jaune) étude urbaine Les Marronniers sur la carte des projets structurants engagés</w:t>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Normal"/>
        <w:rPr>
          <w:rFonts w:ascii="Arial" w:hAnsi="Arial" w:cs="Arial"/>
          <w:sz w:val="22"/>
        </w:rPr>
      </w:pPr>
      <w:r>
        <w:rPr>
          <w:rFonts w:cs="Arial" w:ascii="Arial" w:hAnsi="Arial"/>
          <w:sz w:val="22"/>
        </w:rPr>
      </w:r>
    </w:p>
    <w:p>
      <w:pPr>
        <w:pStyle w:val="Normal"/>
        <w:rPr>
          <w:rFonts w:ascii="Arial" w:hAnsi="Arial" w:cs="Arial"/>
          <w:sz w:val="22"/>
        </w:rPr>
      </w:pPr>
      <w:r>
        <w:rPr>
          <w:rFonts w:cs="Arial" w:ascii="Arial" w:hAnsi="Arial"/>
          <w:sz w:val="22"/>
        </w:rPr>
      </w:r>
    </w:p>
    <w:p>
      <w:pPr>
        <w:pStyle w:val="Normal"/>
        <w:rPr>
          <w:rFonts w:ascii="Arial" w:hAnsi="Arial" w:cs="Arial"/>
          <w:sz w:val="22"/>
        </w:rPr>
      </w:pPr>
      <w:r>
        <w:rPr>
          <w:rFonts w:cs="Arial" w:ascii="Arial" w:hAnsi="Arial"/>
          <w:sz w:val="22"/>
        </w:rPr>
      </w:r>
    </w:p>
    <w:p>
      <w:pPr>
        <w:pStyle w:val="Normal"/>
        <w:rPr>
          <w:rFonts w:ascii="Arial" w:hAnsi="Arial" w:cs="Arial"/>
          <w:b/>
          <w:b/>
          <w:bCs/>
          <w:sz w:val="22"/>
        </w:rPr>
      </w:pPr>
      <w:r>
        <w:rPr>
          <w:rFonts w:cs="Arial" w:ascii="Arial" w:hAnsi="Arial"/>
          <w:b/>
          <w:bCs/>
          <w:sz w:val="22"/>
        </w:rPr>
        <w:t>Le quartier des Marronniers</w:t>
      </w:r>
    </w:p>
    <w:p>
      <w:pPr>
        <w:pStyle w:val="Normal"/>
        <w:rPr>
          <w:rFonts w:ascii="Arial" w:hAnsi="Arial" w:cs="Arial"/>
          <w:sz w:val="22"/>
        </w:rPr>
      </w:pPr>
      <w:r>
        <w:rPr>
          <w:rFonts w:cs="Arial" w:ascii="Arial" w:hAnsi="Arial"/>
          <w:sz w:val="22"/>
        </w:rPr>
        <w:t xml:space="preserve"> </w:t>
      </w:r>
      <w:r>
        <w:rPr>
          <w:rFonts w:cs="Arial" w:ascii="Arial" w:hAnsi="Arial"/>
          <w:sz w:val="22"/>
        </w:rPr>
        <w:t>Du PLH</w:t>
      </w:r>
    </w:p>
    <w:p>
      <w:pPr>
        <w:pStyle w:val="Normal"/>
        <w:rPr>
          <w:rFonts w:ascii="Arial" w:hAnsi="Arial" w:cs="Arial"/>
          <w:sz w:val="22"/>
        </w:rPr>
      </w:pPr>
      <w:r>
        <w:rPr/>
        <w:drawing>
          <wp:inline distT="0" distB="0" distL="0" distR="0">
            <wp:extent cx="5384165" cy="3799840"/>
            <wp:effectExtent l="0" t="0" r="0" b="0"/>
            <wp:docPr id="7" name="Image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28" descr=""/>
                    <pic:cNvPicPr>
                      <a:picLocks noChangeAspect="1" noChangeArrowheads="1"/>
                    </pic:cNvPicPr>
                  </pic:nvPicPr>
                  <pic:blipFill>
                    <a:blip r:embed="rId12"/>
                    <a:stretch>
                      <a:fillRect/>
                    </a:stretch>
                  </pic:blipFill>
                  <pic:spPr bwMode="auto">
                    <a:xfrm>
                      <a:off x="0" y="0"/>
                      <a:ext cx="5384165" cy="3799840"/>
                    </a:xfrm>
                    <a:prstGeom prst="rect">
                      <a:avLst/>
                    </a:prstGeom>
                  </pic:spPr>
                </pic:pic>
              </a:graphicData>
            </a:graphic>
          </wp:inline>
        </w:drawing>
      </w:r>
    </w:p>
    <w:p>
      <w:pPr>
        <w:pStyle w:val="Normal"/>
        <w:rPr>
          <w:rFonts w:ascii="Arial" w:hAnsi="Arial" w:cs="Arial"/>
          <w:sz w:val="22"/>
        </w:rPr>
      </w:pPr>
      <w:r>
        <w:rPr>
          <w:rFonts w:cs="Arial" w:ascii="Arial" w:hAnsi="Arial"/>
          <w:sz w:val="22"/>
        </w:rPr>
        <w:t xml:space="preserve">Porte d’entrée du territoire depuis Arnouville et Villiers-le-Bel, le quartier des Marronniers (en rouge sur la carte ci-dessus) se compose d’environ mille deux cents logements, essentiellement de maisons individuelles. L’urbanisation du quartier s’est caractérisée par la juxtaposition de plusieurs programmes immobiliers. </w:t>
      </w:r>
    </w:p>
    <w:p>
      <w:pPr>
        <w:pStyle w:val="Normal"/>
        <w:rPr>
          <w:rFonts w:ascii="Arial" w:hAnsi="Arial" w:cs="Arial"/>
          <w:sz w:val="22"/>
        </w:rPr>
      </w:pPr>
      <w:r>
        <w:rPr>
          <w:rFonts w:cs="Arial" w:ascii="Arial" w:hAnsi="Arial"/>
          <w:sz w:val="22"/>
        </w:rPr>
        <w:t>Tout d’abord, « la cité jardin », bâtie entre 1924 et 1926, qui se compose de 324 lots, de styles architecturaux variés et implantés sur des grands terrains. Les propriétaires font partie des associations de bâtisseurs, et fondent des sociétés de gestion d’eau. Une partie des premiers habitants des Marronniers sont des employés de chemins de fer.</w:t>
      </w:r>
    </w:p>
    <w:p>
      <w:pPr>
        <w:pStyle w:val="Normal"/>
        <w:rPr>
          <w:rFonts w:ascii="Arial" w:hAnsi="Arial" w:cs="Arial"/>
          <w:sz w:val="22"/>
        </w:rPr>
      </w:pPr>
      <w:r>
        <w:rPr>
          <w:rFonts w:cs="Arial" w:ascii="Arial" w:hAnsi="Arial"/>
          <w:sz w:val="22"/>
        </w:rPr>
        <w:t>Des maisons individuelles, de styles individuels et de tailles variées, viendront s’ajouter à ces premiers noyaux. Jusqu’aux années 1950, le quartier est une zone d’habitat clairsemée, éloignée de la ville et entouré de champs agricoles.</w:t>
      </w:r>
    </w:p>
    <w:p>
      <w:pPr>
        <w:pStyle w:val="Normal"/>
        <w:rPr>
          <w:rFonts w:ascii="Arial" w:hAnsi="Arial" w:cs="Arial"/>
          <w:sz w:val="22"/>
        </w:rPr>
      </w:pPr>
      <w:r>
        <w:rPr>
          <w:rFonts w:cs="Arial" w:ascii="Arial" w:hAnsi="Arial"/>
          <w:sz w:val="22"/>
        </w:rPr>
        <w:t xml:space="preserve">A partir des années 1958, le quartier va s’étendre avec la construction en plusieurs tranches, entre 1958 et 1966, de 644 pavillons en bandes et d’un petit immeuble (par les sociétés SOCIMA et SOPEREF). </w:t>
      </w:r>
    </w:p>
    <w:p>
      <w:pPr>
        <w:pStyle w:val="Normal"/>
        <w:rPr>
          <w:rFonts w:ascii="Arial" w:hAnsi="Arial" w:cs="Arial"/>
          <w:sz w:val="22"/>
        </w:rPr>
      </w:pPr>
      <w:r>
        <w:rPr>
          <w:rFonts w:cs="Arial" w:ascii="Arial" w:hAnsi="Arial"/>
          <w:sz w:val="22"/>
        </w:rPr>
        <w:t>Ces logements s’apparentent à des maisons mitoyennes de deux étages, accolées des deux côtés, formant des bandes plus ou moins longues, tantôt le long d’une rue, tantôt autour de placettes. Ils bénéficient d’une superficie allant de 85 à 95 m</w:t>
      </w:r>
      <w:r>
        <w:rPr>
          <w:rFonts w:cs="Arial" w:ascii="Arial" w:hAnsi="Arial"/>
          <w:sz w:val="22"/>
          <w:vertAlign w:val="superscript"/>
        </w:rPr>
        <w:t>2</w:t>
      </w:r>
      <w:r>
        <w:rPr>
          <w:rFonts w:cs="Arial" w:ascii="Arial" w:hAnsi="Arial"/>
          <w:sz w:val="22"/>
        </w:rPr>
        <w:t xml:space="preserve"> et comportent quatre ou cinq pièces : un garage et une chambre au rez-de-chaussée, la cuisine et une salle à manger au premier étage et des chambres au second. Ces maisons sont alors valorisées du fait de leur modernité mais aussi en raison de la présence du jardin à l’arrière pouvant aller de 130 m</w:t>
      </w:r>
      <w:r>
        <w:rPr>
          <w:rFonts w:cs="Arial" w:ascii="Arial" w:hAnsi="Arial"/>
          <w:sz w:val="22"/>
          <w:vertAlign w:val="superscript"/>
        </w:rPr>
        <w:t>2</w:t>
      </w:r>
      <w:r>
        <w:rPr>
          <w:rFonts w:cs="Arial" w:ascii="Arial" w:hAnsi="Arial"/>
          <w:sz w:val="22"/>
        </w:rPr>
        <w:t xml:space="preserve"> à 180 m</w:t>
      </w:r>
      <w:r>
        <w:rPr>
          <w:rFonts w:cs="Arial" w:ascii="Arial" w:hAnsi="Arial"/>
          <w:sz w:val="22"/>
          <w:vertAlign w:val="superscript"/>
        </w:rPr>
        <w:t>2</w:t>
      </w:r>
      <w:r>
        <w:rPr>
          <w:rFonts w:cs="Arial" w:ascii="Arial" w:hAnsi="Arial"/>
          <w:sz w:val="22"/>
        </w:rPr>
        <w:t>.</w:t>
      </w:r>
    </w:p>
    <w:p>
      <w:pPr>
        <w:pStyle w:val="Normal"/>
        <w:rPr>
          <w:rFonts w:ascii="Arial" w:hAnsi="Arial" w:cs="Arial"/>
          <w:sz w:val="22"/>
        </w:rPr>
      </w:pPr>
      <w:r>
        <w:rPr>
          <w:rFonts w:cs="Arial" w:ascii="Arial" w:hAnsi="Arial"/>
          <w:sz w:val="22"/>
        </w:rPr>
        <w:t>Les habitations sont proposées en accession à la propriété et sont construites dans le cadre de « copropriétés horizontales » qui gèrent les rues et les infrastructures collectives (eau, égouts) initialement privées.</w:t>
      </w:r>
    </w:p>
    <w:p>
      <w:pPr>
        <w:pStyle w:val="Normal"/>
        <w:rPr>
          <w:rFonts w:ascii="Arial" w:hAnsi="Arial" w:cs="Arial"/>
          <w:sz w:val="22"/>
        </w:rPr>
      </w:pPr>
      <w:r>
        <w:rPr>
          <w:rFonts w:cs="Arial" w:ascii="Arial" w:hAnsi="Arial"/>
          <w:sz w:val="22"/>
        </w:rPr>
        <w:t>Ces constructions vont contribuer à la densification du quartier et à l’installation de plusieurs équipements publics et privés : des commerces et un marché occupent une place du centre du quartier, tandis que de nouvelles écoles, maternelle et primaire, sont construites à la toute fin des années 1970.</w:t>
      </w:r>
    </w:p>
    <w:p>
      <w:pPr>
        <w:pStyle w:val="Normal"/>
        <w:rPr>
          <w:rFonts w:ascii="Arial" w:hAnsi="Arial" w:cs="Arial"/>
          <w:sz w:val="22"/>
        </w:rPr>
      </w:pPr>
      <w:r>
        <w:rPr>
          <w:rFonts w:cs="Arial" w:ascii="Arial" w:hAnsi="Arial"/>
          <w:sz w:val="22"/>
        </w:rPr>
        <w:t>Le quartier connaitra une troisième phase de construction à la fin des années 1970, sous la forme d’une série de lotissements qui vont s’étendre au-delà des pavillons en bande, sur les champs encore présents au sud et à l’est du quartier. Deux cent soixante-trois maisons voient le jour de façon étalée. Ces maisons sont un peu plus grandes que les pavillons en bandes : de 90 à 110 m</w:t>
      </w:r>
      <w:r>
        <w:rPr>
          <w:rFonts w:cs="Arial" w:ascii="Arial" w:hAnsi="Arial"/>
          <w:sz w:val="22"/>
          <w:vertAlign w:val="superscript"/>
        </w:rPr>
        <w:t>2</w:t>
      </w:r>
      <w:r>
        <w:rPr>
          <w:rFonts w:cs="Arial" w:ascii="Arial" w:hAnsi="Arial"/>
          <w:sz w:val="22"/>
        </w:rPr>
        <w:t>, et si certaines sont jumelées, d’autres sont isolées. Elles ont des jardins assez vastes à l’arrière (350 à 600 m</w:t>
      </w:r>
      <w:r>
        <w:rPr>
          <w:rFonts w:cs="Arial" w:ascii="Arial" w:hAnsi="Arial"/>
          <w:sz w:val="22"/>
          <w:vertAlign w:val="superscript"/>
        </w:rPr>
        <w:t>2</w:t>
      </w:r>
      <w:r>
        <w:rPr>
          <w:rFonts w:cs="Arial" w:ascii="Arial" w:hAnsi="Arial"/>
          <w:sz w:val="22"/>
        </w:rPr>
        <w:t>) et, dans les premiers temps, certains de ces jardins donnent sur les champs.</w:t>
      </w:r>
    </w:p>
    <w:p>
      <w:pPr>
        <w:pStyle w:val="Normal"/>
        <w:rPr>
          <w:rFonts w:ascii="Arial" w:hAnsi="Arial" w:cs="Arial"/>
          <w:sz w:val="22"/>
        </w:rPr>
      </w:pPr>
      <w:r>
        <w:rPr>
          <w:rFonts w:cs="Arial" w:ascii="Arial" w:hAnsi="Arial"/>
          <w:sz w:val="22"/>
        </w:rPr>
      </w:r>
    </w:p>
    <w:p>
      <w:pPr>
        <w:pStyle w:val="Normal"/>
        <w:rPr>
          <w:rFonts w:ascii="Arial" w:hAnsi="Arial" w:cs="Arial"/>
          <w:sz w:val="22"/>
        </w:rPr>
      </w:pPr>
      <w:r>
        <w:rPr>
          <w:rFonts w:cs="Arial" w:ascii="Arial" w:hAnsi="Arial"/>
          <w:sz w:val="22"/>
        </w:rPr>
      </w:r>
    </w:p>
    <w:p>
      <w:pPr>
        <w:pStyle w:val="Normal"/>
        <w:rPr>
          <w:rFonts w:ascii="Arial" w:hAnsi="Arial" w:cs="Arial"/>
          <w:sz w:val="22"/>
        </w:rPr>
      </w:pPr>
      <w:r>
        <w:rPr/>
        <w:drawing>
          <wp:inline distT="0" distB="0" distL="0" distR="0">
            <wp:extent cx="5760720" cy="3311525"/>
            <wp:effectExtent l="0" t="0" r="0" b="0"/>
            <wp:docPr id="8" name="Image 38" descr="Une image contenant carte, Photographie aérienne, Vue plongeante, aérie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38" descr="Une image contenant carte, Photographie aérienne, Vue plongeante, aérien&#10;&#10;Description générée automatiquement"/>
                    <pic:cNvPicPr>
                      <a:picLocks noChangeAspect="1" noChangeArrowheads="1"/>
                    </pic:cNvPicPr>
                  </pic:nvPicPr>
                  <pic:blipFill>
                    <a:blip r:embed="rId13"/>
                    <a:stretch>
                      <a:fillRect/>
                    </a:stretch>
                  </pic:blipFill>
                  <pic:spPr bwMode="auto">
                    <a:xfrm>
                      <a:off x="0" y="0"/>
                      <a:ext cx="5760720" cy="3311525"/>
                    </a:xfrm>
                    <a:prstGeom prst="rect">
                      <a:avLst/>
                    </a:prstGeom>
                  </pic:spPr>
                </pic:pic>
              </a:graphicData>
            </a:graphic>
          </wp:inline>
        </w:drawing>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Normal"/>
        <w:rPr>
          <w:rFonts w:ascii="Arial" w:hAnsi="Arial" w:eastAsia="Times New Roman" w:cs="Arial"/>
          <w:sz w:val="22"/>
        </w:rPr>
      </w:pPr>
      <w:r>
        <w:rPr>
          <w:rFonts w:eastAsia="Times New Roman" w:cs="Arial" w:ascii="Arial" w:hAnsi="Arial"/>
          <w:sz w:val="22"/>
        </w:rPr>
      </w:r>
    </w:p>
    <w:p>
      <w:pPr>
        <w:pStyle w:val="Normal"/>
        <w:rPr>
          <w:rFonts w:ascii="Arial" w:hAnsi="Arial" w:eastAsia="Times New Roman" w:cs="Arial"/>
          <w:sz w:val="22"/>
        </w:rPr>
      </w:pPr>
      <w:r>
        <w:rPr>
          <w:rFonts w:eastAsia="Times New Roman" w:cs="Arial" w:ascii="Arial" w:hAnsi="Arial"/>
          <w:sz w:val="22"/>
        </w:rPr>
      </w:r>
    </w:p>
    <w:p>
      <w:pPr>
        <w:pStyle w:val="Normal"/>
        <w:rPr>
          <w:rFonts w:ascii="Arial" w:hAnsi="Arial" w:cs="Arial"/>
          <w:sz w:val="22"/>
        </w:rPr>
      </w:pPr>
      <w:r>
        <w:rPr>
          <w:rFonts w:cs="Arial" w:ascii="Arial" w:hAnsi="Arial"/>
          <w:sz w:val="22"/>
        </w:rPr>
        <w:t>Aujourd’hui, le quartier est classé en quartier prioritaire de la ville suite à sa paupérisation. En effet, il concentre un taux de chômage élevé (21,6%) par rapport au reste de la ville (15,9%) et une grande majorité des actifs sont ouvriers (36%).</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Normal"/>
        <w:spacing w:lineRule="auto" w:line="247" w:before="0" w:after="5"/>
        <w:jc w:val="both"/>
        <w:rPr>
          <w:rFonts w:ascii="Arial" w:hAnsi="Arial" w:eastAsia="Times New Roman" w:cs="Arial"/>
          <w:sz w:val="22"/>
        </w:rPr>
      </w:pPr>
      <w:r>
        <w:rPr>
          <w:rFonts w:eastAsia="Times New Roman" w:cs="Arial" w:ascii="Arial" w:hAnsi="Arial"/>
          <w:sz w:val="22"/>
        </w:rPr>
        <w:t xml:space="preserve"> </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ListParagraph"/>
        <w:numPr>
          <w:ilvl w:val="1"/>
          <w:numId w:val="1"/>
        </w:numPr>
        <w:spacing w:lineRule="auto" w:line="247" w:before="0" w:after="5"/>
        <w:contextualSpacing/>
        <w:jc w:val="both"/>
        <w:rPr>
          <w:rFonts w:ascii="Arial" w:hAnsi="Arial" w:eastAsia="Times New Roman" w:cs="Arial"/>
          <w:b/>
          <w:b/>
          <w:bCs/>
          <w:sz w:val="22"/>
        </w:rPr>
      </w:pPr>
      <w:r>
        <w:rPr>
          <w:rFonts w:eastAsia="Times New Roman" w:cs="Arial" w:ascii="Arial" w:hAnsi="Arial"/>
          <w:b/>
          <w:bCs/>
          <w:sz w:val="22"/>
        </w:rPr>
        <w:t>Objet de l’enquête</w:t>
      </w:r>
    </w:p>
    <w:p>
      <w:pPr>
        <w:pStyle w:val="Normal"/>
        <w:spacing w:lineRule="auto" w:line="247" w:before="0" w:after="5"/>
        <w:jc w:val="both"/>
        <w:rPr>
          <w:rFonts w:ascii="Arial" w:hAnsi="Arial" w:eastAsia="Times New Roman" w:cs="Arial"/>
          <w:b/>
          <w:b/>
          <w:bCs/>
          <w:sz w:val="22"/>
        </w:rPr>
      </w:pPr>
      <w:r>
        <w:rPr>
          <w:rFonts w:eastAsia="Times New Roman" w:cs="Arial" w:ascii="Arial" w:hAnsi="Arial"/>
          <w:b/>
          <w:bCs/>
          <w:sz w:val="22"/>
        </w:rPr>
      </w:r>
    </w:p>
    <w:p>
      <w:pPr>
        <w:pStyle w:val="Normal"/>
        <w:rPr>
          <w:rFonts w:ascii="Arial" w:hAnsi="Arial" w:cs="Arial"/>
          <w:sz w:val="22"/>
        </w:rPr>
      </w:pPr>
      <w:r>
        <w:rPr>
          <w:rFonts w:cs="Arial" w:ascii="Arial" w:hAnsi="Arial"/>
          <w:sz w:val="22"/>
        </w:rPr>
        <w:t>Dans le cadre des opérations de renouvellement urbain du quartier des Marronniers engagées pour lui rendre son attractivité, la commune porte depuis 2017 un projet de lotissement et de création d’espaces publics récréatifs à l’angle des avenues des Jasmins et Georges Kerdavid sur des espaces communs délaissés d’un groupe d’habitation</w:t>
      </w:r>
      <w:r>
        <w:rPr>
          <w:rFonts w:ascii="Arial" w:hAnsi="Arial"/>
          <w:sz w:val="22"/>
        </w:rPr>
        <w:t xml:space="preserve"> </w:t>
      </w:r>
      <w:r>
        <w:rPr>
          <w:rFonts w:cs="Arial" w:ascii="Arial" w:hAnsi="Arial"/>
          <w:sz w:val="22"/>
        </w:rPr>
        <w:t>comprenant un immeuble de 32 appartements (ainsi que 32 caves, locaux communs et cour) et 28 pavillons individuels.</w:t>
      </w:r>
    </w:p>
    <w:p>
      <w:pPr>
        <w:pStyle w:val="Normal"/>
        <w:rPr>
          <w:rFonts w:ascii="Arial" w:hAnsi="Arial" w:cs="Arial"/>
          <w:sz w:val="22"/>
        </w:rPr>
      </w:pPr>
      <w:r>
        <w:rPr>
          <w:rFonts w:cs="Arial" w:ascii="Arial" w:hAnsi="Arial"/>
          <w:sz w:val="22"/>
        </w:rPr>
        <w:t>Cette opération a été réalisée en 1967 par la Société Parisienne d’Etudes et de Recherche Foncière (SOPEREF). Une Association Syndicale Libre dénommée « </w:t>
      </w:r>
      <w:r>
        <w:rPr>
          <w:rFonts w:cs="Arial" w:ascii="Arial" w:hAnsi="Arial"/>
          <w:i/>
          <w:iCs/>
          <w:sz w:val="22"/>
        </w:rPr>
        <w:t>ASL Claire Vallée</w:t>
      </w:r>
      <w:r>
        <w:rPr>
          <w:rFonts w:cs="Arial" w:ascii="Arial" w:hAnsi="Arial"/>
          <w:sz w:val="22"/>
        </w:rPr>
        <w:t xml:space="preserve"> » a été créée afin d’administrer les équipements communs placés sous le régime de l’indivision forcée. Ces équipements comprenaient : </w:t>
      </w:r>
    </w:p>
    <w:p>
      <w:pPr>
        <w:pStyle w:val="ListParagraph"/>
        <w:numPr>
          <w:ilvl w:val="0"/>
          <w:numId w:val="20"/>
        </w:numPr>
        <w:spacing w:lineRule="auto" w:line="259" w:before="0" w:after="160"/>
        <w:contextualSpacing/>
        <w:jc w:val="both"/>
        <w:rPr>
          <w:rFonts w:ascii="Arial" w:hAnsi="Arial" w:cs="Arial"/>
          <w:sz w:val="22"/>
        </w:rPr>
      </w:pPr>
      <w:r>
        <w:rPr>
          <w:rFonts w:cs="Arial" w:ascii="Arial" w:hAnsi="Arial"/>
          <w:sz w:val="22"/>
        </w:rPr>
        <w:t>Les voies, allées de desserte et places projetées d’une superficie initiale d’environ 11 200 m</w:t>
      </w:r>
      <w:r>
        <w:rPr>
          <w:rFonts w:cs="Arial" w:ascii="Arial" w:hAnsi="Arial"/>
          <w:sz w:val="22"/>
          <w:vertAlign w:val="superscript"/>
        </w:rPr>
        <w:t>2 </w:t>
      </w:r>
      <w:r>
        <w:rPr>
          <w:rFonts w:cs="Arial" w:ascii="Arial" w:hAnsi="Arial"/>
          <w:sz w:val="22"/>
        </w:rPr>
        <w:t>(parcelles originellement cadastrées ZT 901, ZT 905 et ZT 906) ;</w:t>
      </w:r>
    </w:p>
    <w:p>
      <w:pPr>
        <w:pStyle w:val="ListParagraph"/>
        <w:numPr>
          <w:ilvl w:val="0"/>
          <w:numId w:val="20"/>
        </w:numPr>
        <w:spacing w:lineRule="auto" w:line="259" w:before="0" w:after="160"/>
        <w:contextualSpacing/>
        <w:jc w:val="both"/>
        <w:rPr>
          <w:rFonts w:ascii="Arial" w:hAnsi="Arial" w:cs="Arial"/>
          <w:sz w:val="22"/>
        </w:rPr>
      </w:pPr>
      <w:r>
        <w:rPr>
          <w:rFonts w:cs="Arial" w:ascii="Arial" w:hAnsi="Arial"/>
          <w:sz w:val="22"/>
        </w:rPr>
        <w:t>Une parcelle à usage de parc, espaces verts et terrains de jeux et de sport d’une superficie d’environ 6 400 m</w:t>
      </w:r>
      <w:r>
        <w:rPr>
          <w:rFonts w:cs="Arial" w:ascii="Arial" w:hAnsi="Arial"/>
          <w:sz w:val="22"/>
          <w:vertAlign w:val="superscript"/>
        </w:rPr>
        <w:t>2</w:t>
      </w:r>
      <w:r>
        <w:rPr>
          <w:rFonts w:cs="Arial" w:ascii="Arial" w:hAnsi="Arial"/>
          <w:sz w:val="22"/>
        </w:rPr>
        <w:t xml:space="preserve"> (parcelle originellement cadastrée ZT 903).</w:t>
      </w:r>
    </w:p>
    <w:p>
      <w:pPr>
        <w:pStyle w:val="Normal"/>
        <w:rPr>
          <w:rFonts w:ascii="Arial" w:hAnsi="Arial" w:cs="Arial"/>
          <w:sz w:val="22"/>
        </w:rPr>
      </w:pPr>
      <w:r>
        <w:rPr>
          <w:rFonts w:cs="Arial" w:ascii="Arial" w:hAnsi="Arial"/>
          <w:sz w:val="22"/>
        </w:rPr>
        <w:t>.</w:t>
      </w:r>
      <w:r>
        <w:rPr/>
        <w:t xml:space="preserve"> </w:t>
        <w:tab/>
        <w:tab/>
        <w:tab/>
      </w:r>
      <w:r>
        <w:rPr/>
        <mc:AlternateContent>
          <mc:Choice Requires="wps">
            <w:drawing>
              <wp:inline distT="0" distB="0" distL="0" distR="0" wp14:anchorId="4E661B6A">
                <wp:extent cx="4186555" cy="3119755"/>
                <wp:effectExtent l="12700" t="12700" r="17780" b="17780"/>
                <wp:docPr id="9" name="Image 5" descr="Une image contenant texte, carte, diagramme, Plan&#10;&#10;Description générée automatiquement"/>
                <a:graphic xmlns:a="http://schemas.openxmlformats.org/drawingml/2006/main">
                  <a:graphicData uri="http://schemas.openxmlformats.org/drawingml/2006/picture">
                    <pic:pic xmlns:pic="http://schemas.openxmlformats.org/drawingml/2006/picture">
                      <pic:nvPicPr>
                        <pic:cNvPr id="2" name="Image 5" descr="Une image contenant texte, carte, diagramme, Plan&#10;&#10;Description générée automatiquement"/>
                        <pic:cNvPicPr/>
                      </pic:nvPicPr>
                      <pic:blipFill>
                        <a:blip r:embed="rId14"/>
                        <a:stretch/>
                      </pic:blipFill>
                      <pic:spPr>
                        <a:xfrm rot="5400000">
                          <a:off x="0" y="0"/>
                          <a:ext cx="4186080" cy="3119040"/>
                        </a:xfrm>
                        <a:prstGeom prst="rect">
                          <a:avLst/>
                        </a:prstGeom>
                        <a:ln w="0">
                          <a:solidFill>
                            <a:srgbClr val="000000"/>
                          </a:solidFill>
                        </a:ln>
                      </pic:spPr>
                    </pic:pic>
                  </a:graphicData>
                </a:graphic>
              </wp:inline>
            </w:drawing>
          </mc:Choice>
          <mc:Fallback>
            <w:pict>
              <v:shape id="shape_0" ID="Image 5" stroked="t" style="position:absolute;margin-left:-41.95pt;margin-top:-287.65pt;width:329.55pt;height:245.55pt;mso-wrap-style:none;v-text-anchor:middle;rotation:90;mso-position-vertical:top" wp14:anchorId="4E661B6A" type="shapetype_75">
                <v:imagedata r:id="rId14" o:detectmouseclick="t"/>
                <v:stroke color="black" joinstyle="round" endcap="flat"/>
                <w10:wrap type="square"/>
              </v:shape>
            </w:pict>
          </mc:Fallback>
        </mc:AlternateContent>
      </w:r>
    </w:p>
    <w:p>
      <w:pPr>
        <w:pStyle w:val="BodyText3"/>
        <w:rPr>
          <w:rFonts w:ascii="Arial" w:hAnsi="Arial"/>
          <w:szCs w:val="22"/>
          <w:lang w:val="fr-FR"/>
        </w:rPr>
      </w:pPr>
      <w:r>
        <w:rPr>
          <w:rFonts w:ascii="Arial" w:hAnsi="Arial"/>
          <w:szCs w:val="22"/>
          <w:lang w:val="fr-FR"/>
        </w:rPr>
      </w:r>
    </w:p>
    <w:p>
      <w:pPr>
        <w:pStyle w:val="Normal"/>
        <w:rPr>
          <w:rFonts w:ascii="Arial" w:hAnsi="Arial" w:cs="Arial"/>
          <w:sz w:val="22"/>
        </w:rPr>
      </w:pPr>
      <w:r>
        <w:rPr>
          <w:rFonts w:cs="Arial" w:ascii="Arial" w:hAnsi="Arial"/>
          <w:sz w:val="22"/>
        </w:rPr>
        <w:t>Ces terrains sont restés appartenir aux propriétaires du groupe d’habitations, lesquels sont tous membres de droit de l’ASL Claire Vallée. Avec le temps, l’entretien de ces équipements est devenu de plus en plus difficile compte tenu du niveau de charge qui en résulte. Par ailleurs, le sentiment d’appartenir à une même résidence a peu à peu disparu et les propriétaires des pavillons vinrent à estimer que les charges qui leur étaient imputables pour ces espaces étaient indues.</w:t>
      </w:r>
    </w:p>
    <w:p>
      <w:pPr>
        <w:pStyle w:val="Normal"/>
        <w:ind w:left="21" w:hanging="0"/>
        <w:rPr>
          <w:rFonts w:ascii="Arial" w:hAnsi="Arial" w:cs="Arial"/>
          <w:sz w:val="22"/>
        </w:rPr>
      </w:pPr>
      <w:r>
        <w:rPr>
          <w:rFonts w:cs="Arial" w:ascii="Arial" w:hAnsi="Arial"/>
          <w:sz w:val="22"/>
        </w:rPr>
        <w:t>La commune de Gonesse n’étant pas propriétaire de la totalité du terrain d’assiette devant être déclaré d’utilité publique, le recours à l’expropriation s’avère nécessaire en vue d’acquérir en totalité ou en partie les parcelles cadastrées AD n°865, 866, 867, 869, 885, 886 (espaces verts) et 888 (voirie).</w:t>
      </w:r>
    </w:p>
    <w:p>
      <w:pPr>
        <w:pStyle w:val="Normal"/>
        <w:ind w:left="21" w:hanging="0"/>
        <w:rPr>
          <w:rFonts w:ascii="Arial" w:hAnsi="Arial" w:cs="Arial"/>
          <w:sz w:val="22"/>
        </w:rPr>
      </w:pPr>
      <w:r>
        <w:rPr/>
        <mc:AlternateContent>
          <mc:Choice Requires="wps">
            <w:drawing>
              <wp:inline distT="0" distB="0" distL="0" distR="0" wp14:anchorId="21E494CA">
                <wp:extent cx="4581525" cy="5967095"/>
                <wp:effectExtent l="5398" t="0" r="0" b="0"/>
                <wp:docPr id="10" name="Image 2" descr="Une image contenant carte, capture d’écran, texte&#10;&#10;Description générée automatiquement"/>
                <a:graphic xmlns:a="http://schemas.openxmlformats.org/drawingml/2006/main">
                  <a:graphicData uri="http://schemas.openxmlformats.org/drawingml/2006/picture">
                    <pic:pic xmlns:pic="http://schemas.openxmlformats.org/drawingml/2006/picture">
                      <pic:nvPicPr>
                        <pic:cNvPr id="3" name="Image 2" descr="Une image contenant carte, capture d’écran, texte&#10;&#10;Description générée automatiquement"/>
                        <pic:cNvPicPr/>
                      </pic:nvPicPr>
                      <pic:blipFill>
                        <a:blip r:embed="rId15"/>
                        <a:stretch/>
                      </pic:blipFill>
                      <pic:spPr>
                        <a:xfrm rot="5400000">
                          <a:off x="0" y="0"/>
                          <a:ext cx="4581000" cy="5966640"/>
                        </a:xfrm>
                        <a:prstGeom prst="rect">
                          <a:avLst/>
                        </a:prstGeom>
                        <a:ln w="0">
                          <a:noFill/>
                        </a:ln>
                      </pic:spPr>
                    </pic:pic>
                  </a:graphicData>
                </a:graphic>
              </wp:inline>
            </w:drawing>
          </mc:Choice>
          <mc:Fallback>
            <w:pict>
              <v:shape id="shape_0" ID="Image 2" stroked="f" style="position:absolute;margin-left:54.55pt;margin-top:-415.25pt;width:360.65pt;height:469.75pt;mso-wrap-style:none;v-text-anchor:middle;rotation:90;mso-position-vertical:top" wp14:anchorId="21E494CA" type="shapetype_75">
                <v:imagedata r:id="rId15" o:detectmouseclick="t"/>
                <v:stroke color="#3465a4" joinstyle="round" endcap="flat"/>
                <w10:wrap type="square"/>
              </v:shape>
            </w:pict>
          </mc:Fallback>
        </mc:AlternateContent>
      </w:r>
    </w:p>
    <w:p>
      <w:pPr>
        <w:pStyle w:val="Normal"/>
        <w:rPr>
          <w:rFonts w:ascii="Arial" w:hAnsi="Arial" w:cs="Arial"/>
          <w:sz w:val="22"/>
        </w:rPr>
      </w:pPr>
      <w:r>
        <w:rPr>
          <w:rFonts w:cs="Arial" w:ascii="Arial" w:hAnsi="Arial"/>
          <w:sz w:val="22"/>
        </w:rPr>
        <w:t>La présente procédure est la première étape d’une procédure d’expropriation qui permettra à la commune de Gonesse, bénéficiaire, d’acquérir les terrains précités en vue de réaliser l’opération.</w:t>
      </w:r>
    </w:p>
    <w:p>
      <w:pPr>
        <w:pStyle w:val="Titre3"/>
        <w:rPr>
          <w:rFonts w:ascii="Arial" w:hAnsi="Arial" w:cs="Arial"/>
          <w:sz w:val="22"/>
          <w:u w:val="none"/>
        </w:rPr>
      </w:pPr>
      <w:bookmarkStart w:id="6" w:name="_Toc153199306"/>
      <w:r>
        <w:rPr>
          <w:rFonts w:cs="Arial" w:ascii="Arial" w:hAnsi="Arial"/>
          <w:sz w:val="22"/>
          <w:u w:val="none"/>
        </w:rPr>
        <w:t>Cette opération s’inscrit dans les objectifs de la politique locale de l’habitat</w:t>
      </w:r>
      <w:bookmarkEnd w:id="6"/>
      <w:r>
        <w:rPr>
          <w:rFonts w:cs="Arial" w:ascii="Arial" w:hAnsi="Arial"/>
          <w:sz w:val="22"/>
          <w:u w:val="none"/>
        </w:rPr>
        <w:t> :</w:t>
      </w:r>
    </w:p>
    <w:p>
      <w:pPr>
        <w:pStyle w:val="Normal"/>
        <w:rPr>
          <w:rFonts w:ascii="Arial" w:hAnsi="Arial" w:cs="Arial"/>
          <w:sz w:val="22"/>
        </w:rPr>
      </w:pPr>
      <w:r>
        <w:rPr>
          <w:rFonts w:cs="Arial" w:ascii="Arial" w:hAnsi="Arial"/>
          <w:sz w:val="22"/>
        </w:rPr>
        <w:t>La création de foncier à coût maîtrisé vise à accompagner l’amélioration de l’offre de logements au travers de la diversification de l’offre. Cet objectif est inscrit dans le Projet d’Aménagement et de Développement Durable du Plan Local d’Urbanisme en vigueur.</w:t>
      </w:r>
    </w:p>
    <w:p>
      <w:pPr>
        <w:pStyle w:val="Normal"/>
        <w:rPr>
          <w:rFonts w:ascii="Arial" w:hAnsi="Arial" w:cs="Arial"/>
          <w:sz w:val="22"/>
        </w:rPr>
      </w:pPr>
      <w:r>
        <w:rPr>
          <w:rFonts w:cs="Arial" w:ascii="Arial" w:hAnsi="Arial"/>
          <w:sz w:val="22"/>
        </w:rPr>
        <w:t xml:space="preserve">Le Programme Local de l’Habitat élaboré et approuvé par l’intercommunalité le 19 décembre 2019 s’organise autour de 23 actions, structurées au sein de 5 orientations : </w:t>
      </w:r>
    </w:p>
    <w:p>
      <w:pPr>
        <w:pStyle w:val="ListParagraph"/>
        <w:numPr>
          <w:ilvl w:val="0"/>
          <w:numId w:val="15"/>
        </w:numPr>
        <w:spacing w:lineRule="auto" w:line="259" w:before="0" w:after="160"/>
        <w:contextualSpacing/>
        <w:jc w:val="both"/>
        <w:rPr>
          <w:rFonts w:ascii="Arial" w:hAnsi="Arial" w:cs="Arial"/>
          <w:sz w:val="22"/>
        </w:rPr>
      </w:pPr>
      <w:r>
        <w:rPr>
          <w:rFonts w:cs="Arial" w:ascii="Arial" w:hAnsi="Arial"/>
          <w:sz w:val="22"/>
        </w:rPr>
        <w:t>Amplifier et cibler les actions d’amélioration du parc existant,</w:t>
      </w:r>
    </w:p>
    <w:p>
      <w:pPr>
        <w:pStyle w:val="ListParagraph"/>
        <w:numPr>
          <w:ilvl w:val="0"/>
          <w:numId w:val="15"/>
        </w:numPr>
        <w:spacing w:lineRule="auto" w:line="259" w:before="0" w:after="160"/>
        <w:contextualSpacing/>
        <w:jc w:val="both"/>
        <w:rPr>
          <w:rFonts w:ascii="Arial" w:hAnsi="Arial" w:cs="Arial"/>
          <w:sz w:val="22"/>
        </w:rPr>
      </w:pPr>
      <w:r>
        <w:rPr>
          <w:rFonts w:cs="Arial" w:ascii="Arial" w:hAnsi="Arial"/>
          <w:sz w:val="22"/>
        </w:rPr>
        <w:t>Accroître l’effort de production et détendre le marché,</w:t>
      </w:r>
    </w:p>
    <w:p>
      <w:pPr>
        <w:pStyle w:val="ListParagraph"/>
        <w:numPr>
          <w:ilvl w:val="0"/>
          <w:numId w:val="15"/>
        </w:numPr>
        <w:spacing w:lineRule="auto" w:line="259" w:before="0" w:after="160"/>
        <w:contextualSpacing/>
        <w:jc w:val="both"/>
        <w:rPr>
          <w:rFonts w:ascii="Arial" w:hAnsi="Arial" w:cs="Arial"/>
          <w:sz w:val="22"/>
        </w:rPr>
      </w:pPr>
      <w:r>
        <w:rPr>
          <w:rFonts w:cs="Arial" w:ascii="Arial" w:hAnsi="Arial"/>
          <w:sz w:val="22"/>
        </w:rPr>
        <w:t>Diversifier l’offre en fonction des opportunités locales et des besoins identifiés,</w:t>
      </w:r>
    </w:p>
    <w:p>
      <w:pPr>
        <w:pStyle w:val="ListParagraph"/>
        <w:numPr>
          <w:ilvl w:val="0"/>
          <w:numId w:val="15"/>
        </w:numPr>
        <w:spacing w:lineRule="auto" w:line="259" w:before="0" w:after="160"/>
        <w:contextualSpacing/>
        <w:jc w:val="both"/>
        <w:rPr>
          <w:rFonts w:ascii="Arial" w:hAnsi="Arial" w:cs="Arial"/>
          <w:sz w:val="22"/>
        </w:rPr>
      </w:pPr>
      <w:r>
        <w:rPr>
          <w:rFonts w:cs="Arial" w:ascii="Arial" w:hAnsi="Arial"/>
          <w:sz w:val="22"/>
        </w:rPr>
        <w:t>Impliquer les opérateurs et la population,</w:t>
      </w:r>
    </w:p>
    <w:p>
      <w:pPr>
        <w:pStyle w:val="ListParagraph"/>
        <w:numPr>
          <w:ilvl w:val="0"/>
          <w:numId w:val="15"/>
        </w:numPr>
        <w:spacing w:lineRule="auto" w:line="259" w:before="0" w:after="160"/>
        <w:contextualSpacing/>
        <w:jc w:val="both"/>
        <w:rPr>
          <w:rFonts w:ascii="Arial" w:hAnsi="Arial" w:cs="Arial"/>
          <w:sz w:val="22"/>
        </w:rPr>
      </w:pPr>
      <w:r>
        <w:rPr>
          <w:rFonts w:cs="Arial" w:ascii="Arial" w:hAnsi="Arial"/>
          <w:sz w:val="22"/>
        </w:rPr>
        <w:t>Engager un partenariat institutionnel fort autour des objectifs.</w:t>
      </w:r>
    </w:p>
    <w:p>
      <w:pPr>
        <w:pStyle w:val="ListParagraph"/>
        <w:spacing w:lineRule="auto" w:line="259" w:before="0" w:after="160"/>
        <w:ind w:left="720" w:hanging="0"/>
        <w:contextualSpacing/>
        <w:jc w:val="both"/>
        <w:rPr>
          <w:rFonts w:ascii="Arial" w:hAnsi="Arial" w:cs="Arial"/>
          <w:sz w:val="22"/>
        </w:rPr>
      </w:pPr>
      <w:r>
        <w:rPr>
          <w:rFonts w:cs="Arial" w:ascii="Arial" w:hAnsi="Arial"/>
          <w:sz w:val="22"/>
        </w:rPr>
      </w:r>
    </w:p>
    <w:p>
      <w:pPr>
        <w:pStyle w:val="Normal"/>
        <w:rPr>
          <w:rFonts w:ascii="Arial" w:hAnsi="Arial" w:cs="Arial"/>
          <w:sz w:val="22"/>
        </w:rPr>
      </w:pPr>
      <w:r>
        <w:rPr>
          <w:rFonts w:cs="Arial" w:ascii="Arial" w:hAnsi="Arial"/>
          <w:sz w:val="22"/>
        </w:rPr>
        <w:t>Son diagnostic identifie, notamment pour les communes de plus de 19 000 habitants, l’enjeu de développer une offre par une programmation de produits bien intégrés sur leur territoire,</w:t>
      </w:r>
      <w:r>
        <w:rPr>
          <w:rFonts w:cs="Arial" w:ascii="Arial" w:hAnsi="Arial"/>
          <w:b/>
          <w:bCs/>
          <w:sz w:val="22"/>
        </w:rPr>
        <w:t xml:space="preserve"> pour permettre à des ménages d’amorcer ou de poursuivre leur parcours résidentiel</w:t>
      </w:r>
      <w:r>
        <w:rPr>
          <w:rFonts w:cs="Arial" w:ascii="Arial" w:hAnsi="Arial"/>
          <w:sz w:val="22"/>
        </w:rPr>
        <w:t xml:space="preserve"> (p.102, synthèse des enjeux du PLH du 19/12/2019 &amp; p 17 du dossier DUP).</w:t>
      </w:r>
    </w:p>
    <w:p>
      <w:pPr>
        <w:pStyle w:val="Normal"/>
        <w:ind w:left="0" w:hanging="0"/>
        <w:rPr>
          <w:rFonts w:ascii="Arial" w:hAnsi="Arial" w:cs="Arial"/>
          <w:sz w:val="22"/>
        </w:rPr>
      </w:pPr>
      <w:r>
        <w:rPr>
          <w:rFonts w:eastAsia="Times New Roman" w:cs="Arial" w:ascii="Arial" w:hAnsi="Arial"/>
          <w:sz w:val="22"/>
        </w:rPr>
        <w:t>L’enquête publique</w:t>
      </w:r>
      <w:r>
        <w:rPr>
          <w:rFonts w:eastAsia="Times New Roman" w:cs="Arial" w:ascii="Arial" w:hAnsi="Arial"/>
          <w:b/>
          <w:bCs/>
          <w:sz w:val="22"/>
        </w:rPr>
        <w:t xml:space="preserve"> </w:t>
      </w:r>
      <w:r>
        <w:rPr>
          <w:rFonts w:eastAsia="Times New Roman" w:cs="Arial" w:ascii="Arial" w:hAnsi="Arial"/>
          <w:sz w:val="22"/>
        </w:rPr>
        <w:t xml:space="preserve">préalable à la déclaration d’utilité publique et </w:t>
      </w:r>
      <w:r>
        <w:rPr>
          <w:rFonts w:cs="Arial" w:ascii="Arial" w:hAnsi="Arial"/>
          <w:sz w:val="22"/>
        </w:rPr>
        <w:t>parcellaire conjointe a pour objectif :</w:t>
      </w:r>
    </w:p>
    <w:p>
      <w:pPr>
        <w:pStyle w:val="Normal"/>
        <w:spacing w:lineRule="auto" w:line="240"/>
        <w:ind w:left="708" w:hanging="10"/>
        <w:rPr>
          <w:rFonts w:ascii="Arial" w:hAnsi="Arial" w:cs="Arial"/>
          <w:sz w:val="22"/>
        </w:rPr>
      </w:pPr>
      <w:r>
        <w:rPr>
          <w:rFonts w:cs="Arial" w:ascii="Arial" w:hAnsi="Arial"/>
          <w:sz w:val="22"/>
        </w:rPr>
        <w:t xml:space="preserve">• </w:t>
      </w:r>
      <w:r>
        <w:rPr>
          <w:rFonts w:cs="Arial" w:ascii="Arial" w:hAnsi="Arial"/>
          <w:sz w:val="22"/>
        </w:rPr>
        <w:t>de permettre l’information et la participation du public sur le projet,</w:t>
      </w:r>
    </w:p>
    <w:p>
      <w:pPr>
        <w:pStyle w:val="Normal"/>
        <w:spacing w:lineRule="auto" w:line="240"/>
        <w:ind w:left="708" w:hanging="10"/>
        <w:rPr>
          <w:rFonts w:ascii="Arial" w:hAnsi="Arial" w:cs="Arial"/>
          <w:sz w:val="22"/>
        </w:rPr>
      </w:pPr>
      <w:r>
        <w:rPr>
          <w:rFonts w:cs="Arial" w:ascii="Arial" w:hAnsi="Arial"/>
          <w:sz w:val="22"/>
        </w:rPr>
        <w:t xml:space="preserve">• </w:t>
      </w:r>
      <w:r>
        <w:rPr>
          <w:rFonts w:cs="Arial" w:ascii="Arial" w:hAnsi="Arial"/>
          <w:sz w:val="22"/>
        </w:rPr>
        <w:t>de justifier le caractère d’intérêt général de l’ensemble des travaux et aménagements projetés,</w:t>
      </w:r>
    </w:p>
    <w:p>
      <w:pPr>
        <w:pStyle w:val="Normal"/>
        <w:spacing w:lineRule="auto" w:line="240"/>
        <w:ind w:left="708" w:hanging="10"/>
        <w:rPr>
          <w:rFonts w:ascii="Arial" w:hAnsi="Arial" w:cs="Arial"/>
          <w:sz w:val="22"/>
        </w:rPr>
      </w:pPr>
      <w:r>
        <w:rPr>
          <w:rFonts w:cs="Arial" w:ascii="Arial" w:hAnsi="Arial"/>
          <w:sz w:val="22"/>
        </w:rPr>
        <w:t xml:space="preserve">• </w:t>
      </w:r>
      <w:r>
        <w:rPr>
          <w:rFonts w:cs="Arial" w:ascii="Arial" w:hAnsi="Arial"/>
          <w:sz w:val="22"/>
        </w:rPr>
        <w:t>de permettre au public de formuler ses observations sur le projet.</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t>Elle constitue la partie centrale de la phase administrative, avant d’entamer la phase judiciaire de la procédure.</w:t>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ListParagraph"/>
        <w:numPr>
          <w:ilvl w:val="1"/>
          <w:numId w:val="1"/>
        </w:numPr>
        <w:spacing w:lineRule="auto" w:line="247" w:before="0" w:after="5"/>
        <w:contextualSpacing/>
        <w:jc w:val="both"/>
        <w:rPr>
          <w:rFonts w:ascii="Arial" w:hAnsi="Arial" w:eastAsia="Times New Roman" w:cs="Arial"/>
          <w:b/>
          <w:b/>
          <w:bCs/>
          <w:sz w:val="22"/>
        </w:rPr>
      </w:pPr>
      <w:r>
        <w:rPr>
          <w:rFonts w:eastAsia="Times New Roman" w:cs="Arial" w:ascii="Arial" w:hAnsi="Arial"/>
          <w:b/>
          <w:bCs/>
          <w:sz w:val="22"/>
        </w:rPr>
        <w:t>Cadre juridique de l’enquête publique</w:t>
      </w:r>
    </w:p>
    <w:p>
      <w:pPr>
        <w:pStyle w:val="Normal"/>
        <w:spacing w:lineRule="auto" w:line="247" w:before="0" w:after="5"/>
        <w:jc w:val="both"/>
        <w:rPr>
          <w:rFonts w:ascii="Arial" w:hAnsi="Arial" w:eastAsia="Times New Roman" w:cs="Arial"/>
          <w:sz w:val="22"/>
          <w:u w:val="single"/>
        </w:rPr>
      </w:pPr>
      <w:r>
        <w:rPr>
          <w:rFonts w:eastAsia="Times New Roman" w:cs="Arial" w:ascii="Arial" w:hAnsi="Arial"/>
          <w:sz w:val="22"/>
          <w:u w:val="single"/>
        </w:rPr>
      </w:r>
    </w:p>
    <w:p>
      <w:pPr>
        <w:pStyle w:val="Normal"/>
        <w:spacing w:lineRule="auto" w:line="247" w:before="0" w:after="5"/>
        <w:ind w:left="21" w:hanging="0"/>
        <w:jc w:val="both"/>
        <w:rPr>
          <w:rFonts w:ascii="Arial" w:hAnsi="Arial" w:eastAsia="Times New Roman" w:cs="Arial"/>
          <w:sz w:val="22"/>
        </w:rPr>
      </w:pPr>
      <w:r>
        <w:rPr>
          <w:rFonts w:eastAsia="Times New Roman" w:cs="Arial" w:ascii="Arial" w:hAnsi="Arial"/>
          <w:sz w:val="22"/>
        </w:rPr>
        <w:t>Le dossier et la procédure d’enquête publique préalable à la Déclaration d'Utilité Publique (DUP) conjointe à une enquête parcellaire trouvent leur origine dans :</w:t>
      </w:r>
    </w:p>
    <w:p>
      <w:pPr>
        <w:pStyle w:val="Normal"/>
        <w:spacing w:lineRule="auto" w:line="247" w:before="0" w:after="5"/>
        <w:ind w:left="21" w:hanging="0"/>
        <w:jc w:val="both"/>
        <w:rPr>
          <w:rFonts w:ascii="Arial" w:hAnsi="Arial" w:eastAsia="Times New Roman" w:cs="Arial"/>
          <w:sz w:val="22"/>
        </w:rPr>
      </w:pPr>
      <w:r>
        <w:rPr>
          <w:rFonts w:eastAsia="Times New Roman" w:cs="Arial" w:ascii="Arial" w:hAnsi="Arial"/>
          <w:sz w:val="22"/>
        </w:rPr>
      </w:r>
    </w:p>
    <w:p>
      <w:pPr>
        <w:pStyle w:val="Normal"/>
        <w:spacing w:lineRule="auto" w:line="240" w:before="0" w:after="5"/>
        <w:jc w:val="both"/>
        <w:rPr>
          <w:rFonts w:ascii="Arial" w:hAnsi="Arial" w:eastAsia="Times New Roman" w:cs="Arial"/>
          <w:sz w:val="22"/>
        </w:rPr>
      </w:pPr>
      <w:r>
        <w:rPr>
          <w:rFonts w:eastAsia="Times New Roman" w:cs="Arial" w:ascii="Arial" w:hAnsi="Arial"/>
          <w:sz w:val="22"/>
        </w:rPr>
        <w:t xml:space="preserve">- le Code de l’expropriation pour cause d’utilité́ publique notamment au regard des articles L.110-1 et suivants, L.121-1 à L122-7, R.111-1 à R112-27, et R.131-3 à R131-14 et suivants ; </w:t>
      </w:r>
    </w:p>
    <w:p>
      <w:pPr>
        <w:pStyle w:val="Normal"/>
        <w:spacing w:lineRule="auto" w:line="240" w:before="0" w:after="5"/>
        <w:jc w:val="both"/>
        <w:rPr>
          <w:rFonts w:ascii="Arial" w:hAnsi="Arial" w:eastAsia="Times New Roman" w:cs="Arial"/>
          <w:sz w:val="22"/>
        </w:rPr>
      </w:pPr>
      <w:r>
        <w:rPr>
          <w:rFonts w:eastAsia="Times New Roman" w:cs="Arial" w:ascii="Arial" w:hAnsi="Arial"/>
          <w:sz w:val="22"/>
        </w:rPr>
      </w:r>
    </w:p>
    <w:p>
      <w:pPr>
        <w:pStyle w:val="Normal"/>
        <w:spacing w:lineRule="auto" w:line="240" w:before="0" w:after="5"/>
        <w:jc w:val="both"/>
        <w:rPr>
          <w:rFonts w:ascii="Arial" w:hAnsi="Arial" w:eastAsia="Times New Roman" w:cs="Arial"/>
          <w:sz w:val="22"/>
        </w:rPr>
      </w:pPr>
      <w:r>
        <w:rPr>
          <w:rFonts w:eastAsia="Times New Roman" w:cs="Arial" w:ascii="Arial" w:hAnsi="Arial"/>
          <w:sz w:val="22"/>
        </w:rPr>
        <w:t>- le Code de l’urbanisme en fonction des articles L.313-4 et suivants, R.313-23 et suivants ;</w:t>
      </w:r>
    </w:p>
    <w:p>
      <w:pPr>
        <w:pStyle w:val="Normal"/>
        <w:spacing w:lineRule="auto" w:line="240" w:before="0" w:after="5"/>
        <w:jc w:val="both"/>
        <w:rPr>
          <w:rFonts w:ascii="Arial" w:hAnsi="Arial" w:eastAsia="Times New Roman" w:cs="Arial"/>
          <w:sz w:val="22"/>
        </w:rPr>
      </w:pPr>
      <w:r>
        <w:rPr>
          <w:rFonts w:eastAsia="Times New Roman" w:cs="Arial" w:ascii="Arial" w:hAnsi="Arial"/>
          <w:sz w:val="22"/>
        </w:rPr>
      </w:r>
    </w:p>
    <w:p>
      <w:pPr>
        <w:pStyle w:val="Normal"/>
        <w:spacing w:lineRule="auto" w:line="240" w:before="0" w:after="5"/>
        <w:jc w:val="both"/>
        <w:rPr>
          <w:rFonts w:ascii="Arial" w:hAnsi="Arial" w:eastAsia="Times New Roman" w:cs="Arial"/>
          <w:sz w:val="22"/>
        </w:rPr>
      </w:pPr>
      <w:r>
        <w:rPr>
          <w:rFonts w:eastAsia="Times New Roman" w:cs="Arial" w:ascii="Arial" w:hAnsi="Arial"/>
          <w:sz w:val="22"/>
        </w:rPr>
        <w:t xml:space="preserve">- la délibération du 29 mars 2021 du conseil municipal de la commune de Gonesse autorisant la maire à solliciter auprès du préfet l'organisation d'une </w:t>
      </w:r>
      <w:bookmarkStart w:id="7" w:name="_Hlk106053777"/>
      <w:r>
        <w:rPr>
          <w:rFonts w:eastAsia="Times New Roman" w:cs="Arial" w:ascii="Arial" w:hAnsi="Arial"/>
          <w:sz w:val="22"/>
        </w:rPr>
        <w:t>enquête publique préalable à la Déclaration d'Utilité Publique (DUP) conjointe à une enquête parcellaire dans le cadre du projet de création d’un lotissement dit « des Jasmins » comprenant environ 20 lots destinés à l’habitat individuel groupé, une aire de jeux, un terrain de pétanque et su stationnement public, et approuvant le dossier d'enquête correspondant ;</w:t>
      </w:r>
      <w:bookmarkEnd w:id="7"/>
    </w:p>
    <w:p>
      <w:pPr>
        <w:pStyle w:val="Normal"/>
        <w:spacing w:lineRule="auto" w:line="240" w:before="0" w:after="5"/>
        <w:jc w:val="both"/>
        <w:rPr>
          <w:rFonts w:ascii="Arial" w:hAnsi="Arial" w:eastAsia="Times New Roman" w:cs="Arial"/>
          <w:sz w:val="22"/>
        </w:rPr>
      </w:pPr>
      <w:r>
        <w:rPr>
          <w:rFonts w:eastAsia="Times New Roman" w:cs="Arial" w:ascii="Arial" w:hAnsi="Arial"/>
          <w:sz w:val="22"/>
        </w:rPr>
      </w:r>
    </w:p>
    <w:p>
      <w:pPr>
        <w:pStyle w:val="Normal"/>
        <w:spacing w:lineRule="auto" w:line="240" w:before="0" w:after="5"/>
        <w:jc w:val="both"/>
        <w:rPr>
          <w:rFonts w:ascii="Arial" w:hAnsi="Arial" w:eastAsia="Times New Roman" w:cs="Arial"/>
          <w:sz w:val="22"/>
        </w:rPr>
      </w:pPr>
      <w:r>
        <w:rPr>
          <w:rFonts w:eastAsia="Times New Roman" w:cs="Arial" w:ascii="Arial" w:hAnsi="Arial"/>
          <w:sz w:val="22"/>
        </w:rPr>
        <w:t>- la décision de Monsieur le Président du Tribunal Administratif de Cergy-Pontoise du 11 novembre 2023 désignant le commissaire enquêteur ;</w:t>
      </w:r>
    </w:p>
    <w:p>
      <w:pPr>
        <w:pStyle w:val="Normal"/>
        <w:spacing w:lineRule="auto" w:line="240" w:before="0" w:after="5"/>
        <w:jc w:val="both"/>
        <w:rPr>
          <w:rFonts w:ascii="Arial" w:hAnsi="Arial" w:eastAsia="Times New Roman" w:cs="Arial"/>
          <w:sz w:val="22"/>
        </w:rPr>
      </w:pPr>
      <w:r>
        <w:rPr>
          <w:rFonts w:eastAsia="Times New Roman" w:cs="Arial" w:ascii="Arial" w:hAnsi="Arial"/>
          <w:sz w:val="22"/>
        </w:rPr>
      </w:r>
    </w:p>
    <w:p>
      <w:pPr>
        <w:pStyle w:val="Normal"/>
        <w:spacing w:lineRule="auto" w:line="240" w:before="0" w:after="5"/>
        <w:jc w:val="both"/>
        <w:rPr>
          <w:rFonts w:ascii="Arial" w:hAnsi="Arial" w:eastAsia="Times New Roman" w:cs="Arial"/>
          <w:sz w:val="22"/>
        </w:rPr>
      </w:pPr>
      <w:r>
        <w:rPr>
          <w:rFonts w:eastAsia="Times New Roman" w:cs="Arial" w:ascii="Arial" w:hAnsi="Arial"/>
          <w:sz w:val="22"/>
        </w:rPr>
        <w:t>- l’Arrêté préfectoral N° 2023-17486 portant ouverture d'une enquête publique en date du 10 janvier 2024.</w:t>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Normal"/>
        <w:spacing w:lineRule="auto" w:line="240" w:before="0" w:after="0"/>
        <w:ind w:left="0" w:hanging="0"/>
        <w:jc w:val="both"/>
        <w:rPr>
          <w:rFonts w:ascii="Arial" w:hAnsi="Arial" w:eastAsia="" w:cs="Arial" w:eastAsiaTheme="minorEastAsia"/>
          <w:color w:val="auto"/>
          <w:sz w:val="22"/>
        </w:rPr>
      </w:pPr>
      <w:r>
        <w:rPr>
          <w:rFonts w:eastAsia="" w:cs="Arial" w:ascii="Arial" w:hAnsi="Arial" w:eastAsiaTheme="minorEastAsia"/>
          <w:color w:val="auto"/>
          <w:sz w:val="22"/>
        </w:rPr>
        <w:t>Sur la procédure, l’article L 1 du code de l’expropriation pour cause d’utilité publique dispose que :</w:t>
      </w:r>
    </w:p>
    <w:p>
      <w:pPr>
        <w:pStyle w:val="Normal"/>
        <w:spacing w:lineRule="auto" w:line="240" w:before="0" w:after="0"/>
        <w:ind w:left="0" w:hanging="0"/>
        <w:jc w:val="both"/>
        <w:rPr>
          <w:rFonts w:ascii="Arial" w:hAnsi="Arial" w:eastAsia="" w:cs="Arial" w:eastAsiaTheme="minorEastAsia"/>
          <w:color w:val="auto"/>
          <w:sz w:val="22"/>
        </w:rPr>
      </w:pPr>
      <w:r>
        <w:rPr>
          <w:rFonts w:eastAsia="" w:cs="Arial" w:eastAsiaTheme="minorEastAsia" w:ascii="Arial" w:hAnsi="Arial"/>
          <w:color w:val="auto"/>
          <w:sz w:val="22"/>
        </w:rPr>
      </w:r>
    </w:p>
    <w:p>
      <w:pPr>
        <w:pStyle w:val="Normal"/>
        <w:spacing w:lineRule="auto" w:line="240" w:before="0" w:after="0"/>
        <w:ind w:left="0" w:hanging="0"/>
        <w:jc w:val="both"/>
        <w:rPr>
          <w:rFonts w:ascii="Arial" w:hAnsi="Arial" w:eastAsia="" w:cs="Arial" w:eastAsiaTheme="minorEastAsia"/>
          <w:i/>
          <w:i/>
          <w:iCs/>
          <w:color w:val="auto"/>
          <w:sz w:val="22"/>
        </w:rPr>
      </w:pPr>
      <w:r>
        <w:rPr>
          <w:rFonts w:eastAsia="" w:cs="Arial" w:ascii="Arial" w:hAnsi="Arial" w:eastAsiaTheme="minorEastAsia"/>
          <w:i/>
          <w:iCs/>
          <w:color w:val="auto"/>
          <w:sz w:val="22"/>
        </w:rPr>
        <w:t>« L'expropriation, en tout ou partie, d'immeubles ou de droits réels immobiliers ne peut être prononcée qu'à la condition qu'elle réponde à une utilité publique préalablement et formellement constatée à la suite d'une enquête et qu'il ait été procédé, contradictoirement, à la détermination des parcelles à exproprier ainsi qu'à la recherche des propriétaires, des titulaires de droits réels et des autres personnes intéressées. Elle donne lieu à une juste et préalable indemnité. »</w:t>
      </w:r>
    </w:p>
    <w:p>
      <w:pPr>
        <w:pStyle w:val="Normal"/>
        <w:spacing w:lineRule="auto" w:line="240" w:before="0" w:after="0"/>
        <w:ind w:left="0" w:hanging="0"/>
        <w:jc w:val="both"/>
        <w:rPr>
          <w:rFonts w:ascii="Arial" w:hAnsi="Arial" w:eastAsia="" w:cs="Arial" w:eastAsiaTheme="minorEastAsia"/>
          <w:i/>
          <w:i/>
          <w:iCs/>
          <w:color w:val="auto"/>
          <w:sz w:val="22"/>
        </w:rPr>
      </w:pPr>
      <w:r>
        <w:rPr>
          <w:rFonts w:eastAsia="" w:cs="Arial" w:eastAsiaTheme="minorEastAsia" w:ascii="Arial" w:hAnsi="Arial"/>
          <w:i/>
          <w:iCs/>
          <w:color w:val="auto"/>
          <w:sz w:val="22"/>
        </w:rPr>
      </w:r>
    </w:p>
    <w:p>
      <w:pPr>
        <w:pStyle w:val="Normal"/>
        <w:spacing w:lineRule="auto" w:line="240" w:before="0" w:after="0"/>
        <w:ind w:left="0" w:hanging="0"/>
        <w:jc w:val="both"/>
        <w:rPr>
          <w:rFonts w:ascii="Arial" w:hAnsi="Arial" w:eastAsia="" w:cs="Arial" w:eastAsiaTheme="minorEastAsia"/>
          <w:color w:val="auto"/>
          <w:sz w:val="22"/>
        </w:rPr>
      </w:pPr>
      <w:r>
        <w:rPr>
          <w:rFonts w:eastAsia="" w:cs="Arial" w:ascii="Arial" w:hAnsi="Arial" w:eastAsiaTheme="minorEastAsia"/>
          <w:color w:val="auto"/>
          <w:sz w:val="22"/>
        </w:rPr>
        <w:t>Le présent dossier est constitué conformément aux dispositions de l’article R 112-4 du code de l’expropriation pour cause d’utilité publique.</w:t>
      </w:r>
    </w:p>
    <w:p>
      <w:pPr>
        <w:pStyle w:val="Normal"/>
        <w:spacing w:lineRule="auto" w:line="240" w:before="0" w:after="0"/>
        <w:ind w:left="0" w:hanging="0"/>
        <w:jc w:val="both"/>
        <w:rPr>
          <w:rFonts w:ascii="Arial" w:hAnsi="Arial" w:eastAsia="" w:cs="Arial" w:eastAsiaTheme="minorEastAsia"/>
          <w:color w:val="auto"/>
          <w:sz w:val="22"/>
        </w:rPr>
      </w:pPr>
      <w:r>
        <w:rPr>
          <w:rFonts w:eastAsia="" w:cs="Arial" w:eastAsiaTheme="minorEastAsia" w:ascii="Arial" w:hAnsi="Arial"/>
          <w:color w:val="auto"/>
          <w:sz w:val="22"/>
        </w:rPr>
      </w:r>
    </w:p>
    <w:p>
      <w:pPr>
        <w:pStyle w:val="NormalWeb"/>
        <w:shd w:val="clear" w:color="auto" w:fill="FFFFFF"/>
        <w:spacing w:beforeAutospacing="0" w:before="0" w:afterAutospacing="0" w:after="0"/>
        <w:rPr>
          <w:rFonts w:ascii="Arial" w:hAnsi="Arial" w:cs="Arial"/>
          <w:i/>
          <w:i/>
          <w:iCs/>
          <w:color w:val="000000"/>
          <w:sz w:val="22"/>
          <w:szCs w:val="22"/>
        </w:rPr>
      </w:pPr>
      <w:r>
        <w:rPr>
          <w:rFonts w:eastAsia="" w:cs="Arial" w:ascii="Arial" w:hAnsi="Arial" w:eastAsiaTheme="minorEastAsia"/>
          <w:i/>
          <w:iCs/>
          <w:sz w:val="22"/>
          <w:szCs w:val="22"/>
        </w:rPr>
        <w:t>« </w:t>
      </w:r>
      <w:r>
        <w:rPr>
          <w:rFonts w:cs="Arial" w:ascii="Arial" w:hAnsi="Arial"/>
          <w:i/>
          <w:iCs/>
          <w:color w:val="000000"/>
          <w:sz w:val="22"/>
          <w:szCs w:val="22"/>
        </w:rPr>
        <w:t>Lorsque la déclaration d'utilité publique est demandée en vue de la réalisation de travaux ou d'ouvrages, l'expropriant adresse au préfet du département où l'opération doit être réalisée, pour qu'il soit soumis à l'enquête, un dossier comprenant au moins :</w:t>
      </w:r>
    </w:p>
    <w:p>
      <w:pPr>
        <w:pStyle w:val="NormalWeb"/>
        <w:shd w:val="clear" w:color="auto" w:fill="FFFFFF"/>
        <w:spacing w:beforeAutospacing="0" w:before="0" w:afterAutospacing="0" w:after="0"/>
        <w:rPr>
          <w:rFonts w:ascii="Arial" w:hAnsi="Arial" w:cs="Arial"/>
          <w:i/>
          <w:i/>
          <w:iCs/>
          <w:color w:val="000000"/>
          <w:sz w:val="22"/>
          <w:szCs w:val="22"/>
        </w:rPr>
      </w:pPr>
      <w:r>
        <w:rPr>
          <w:rFonts w:cs="Arial" w:ascii="Arial" w:hAnsi="Arial"/>
          <w:i/>
          <w:iCs/>
          <w:color w:val="000000"/>
          <w:sz w:val="22"/>
          <w:szCs w:val="22"/>
        </w:rPr>
        <w:t>1° Une notice explicative ;</w:t>
      </w:r>
    </w:p>
    <w:p>
      <w:pPr>
        <w:pStyle w:val="NormalWeb"/>
        <w:shd w:val="clear" w:color="auto" w:fill="FFFFFF"/>
        <w:spacing w:beforeAutospacing="0" w:before="0" w:afterAutospacing="0" w:after="0"/>
        <w:rPr>
          <w:rFonts w:ascii="Arial" w:hAnsi="Arial" w:cs="Arial"/>
          <w:i/>
          <w:i/>
          <w:iCs/>
          <w:color w:val="000000"/>
          <w:sz w:val="22"/>
          <w:szCs w:val="22"/>
        </w:rPr>
      </w:pPr>
      <w:r>
        <w:rPr>
          <w:rFonts w:cs="Arial" w:ascii="Arial" w:hAnsi="Arial"/>
          <w:i/>
          <w:iCs/>
          <w:color w:val="000000"/>
          <w:sz w:val="22"/>
          <w:szCs w:val="22"/>
        </w:rPr>
        <w:t>2° Le plan de situation ;</w:t>
      </w:r>
    </w:p>
    <w:p>
      <w:pPr>
        <w:pStyle w:val="NormalWeb"/>
        <w:shd w:val="clear" w:color="auto" w:fill="FFFFFF"/>
        <w:spacing w:beforeAutospacing="0" w:before="0" w:afterAutospacing="0" w:after="0"/>
        <w:rPr>
          <w:rFonts w:ascii="Arial" w:hAnsi="Arial" w:cs="Arial"/>
          <w:i/>
          <w:i/>
          <w:iCs/>
          <w:color w:val="000000"/>
          <w:sz w:val="22"/>
          <w:szCs w:val="22"/>
        </w:rPr>
      </w:pPr>
      <w:r>
        <w:rPr>
          <w:rFonts w:cs="Arial" w:ascii="Arial" w:hAnsi="Arial"/>
          <w:i/>
          <w:iCs/>
          <w:color w:val="000000"/>
          <w:sz w:val="22"/>
          <w:szCs w:val="22"/>
        </w:rPr>
        <w:t>3° Le plan général des travaux ;</w:t>
      </w:r>
    </w:p>
    <w:p>
      <w:pPr>
        <w:pStyle w:val="NormalWeb"/>
        <w:shd w:val="clear" w:color="auto" w:fill="FFFFFF"/>
        <w:spacing w:beforeAutospacing="0" w:before="0" w:afterAutospacing="0" w:after="0"/>
        <w:rPr>
          <w:rFonts w:ascii="Arial" w:hAnsi="Arial" w:cs="Arial"/>
          <w:i/>
          <w:i/>
          <w:iCs/>
          <w:color w:val="000000"/>
          <w:sz w:val="22"/>
          <w:szCs w:val="22"/>
        </w:rPr>
      </w:pPr>
      <w:r>
        <w:rPr>
          <w:rFonts w:cs="Arial" w:ascii="Arial" w:hAnsi="Arial"/>
          <w:i/>
          <w:iCs/>
          <w:color w:val="000000"/>
          <w:sz w:val="22"/>
          <w:szCs w:val="22"/>
        </w:rPr>
        <w:t>4° Les caractéristiques principales des ouvrages les plus importants ;</w:t>
      </w:r>
    </w:p>
    <w:p>
      <w:pPr>
        <w:pStyle w:val="NormalWeb"/>
        <w:shd w:val="clear" w:color="auto" w:fill="FFFFFF"/>
        <w:spacing w:beforeAutospacing="0" w:before="0" w:afterAutospacing="0" w:after="0"/>
        <w:rPr>
          <w:rFonts w:ascii="Arial" w:hAnsi="Arial" w:cs="Arial"/>
          <w:i/>
          <w:i/>
          <w:iCs/>
          <w:color w:val="000000"/>
          <w:sz w:val="22"/>
          <w:szCs w:val="22"/>
        </w:rPr>
      </w:pPr>
      <w:r>
        <w:rPr>
          <w:rFonts w:cs="Arial" w:ascii="Arial" w:hAnsi="Arial"/>
          <w:i/>
          <w:iCs/>
          <w:color w:val="000000"/>
          <w:sz w:val="22"/>
          <w:szCs w:val="22"/>
        </w:rPr>
        <w:t>5° L'appréciation sommaire des dépenses. »   </w:t>
      </w:r>
    </w:p>
    <w:p>
      <w:pPr>
        <w:pStyle w:val="Normal"/>
        <w:spacing w:lineRule="auto" w:line="240" w:before="0" w:after="0"/>
        <w:ind w:left="0" w:hanging="0"/>
        <w:jc w:val="both"/>
        <w:rPr>
          <w:rFonts w:ascii="Arial" w:hAnsi="Arial" w:eastAsia="" w:cs="Arial" w:eastAsiaTheme="minorEastAsia"/>
          <w:color w:val="auto"/>
          <w:sz w:val="22"/>
        </w:rPr>
      </w:pPr>
      <w:r>
        <w:rPr>
          <w:rFonts w:eastAsia="" w:cs="Arial" w:eastAsiaTheme="minorEastAsia" w:ascii="Arial" w:hAnsi="Arial"/>
          <w:color w:val="auto"/>
          <w:sz w:val="22"/>
        </w:rPr>
      </w:r>
    </w:p>
    <w:p>
      <w:pPr>
        <w:pStyle w:val="Normal"/>
        <w:spacing w:lineRule="auto" w:line="240" w:before="0" w:after="0"/>
        <w:ind w:left="0" w:hanging="0"/>
        <w:jc w:val="both"/>
        <w:rPr>
          <w:rFonts w:ascii="Arial" w:hAnsi="Arial" w:eastAsia="" w:cs="Arial" w:eastAsiaTheme="minorEastAsia"/>
          <w:color w:val="auto"/>
          <w:sz w:val="22"/>
        </w:rPr>
      </w:pPr>
      <w:r>
        <w:rPr>
          <w:rFonts w:eastAsia="" w:cs="Arial" w:ascii="Arial" w:hAnsi="Arial" w:eastAsiaTheme="minorEastAsia"/>
          <w:color w:val="auto"/>
          <w:sz w:val="22"/>
        </w:rPr>
        <w:t xml:space="preserve">Dans le cadre du projet d’acquisition des parcelles permettant de réaliser l’opération prévue, l’enquête parcellaire sera organisée conjointement à l’enquête préalable à la déclaration d’utilité publique en application de l'article R.131-14 du Code de l’expropriation : </w:t>
      </w:r>
    </w:p>
    <w:p>
      <w:pPr>
        <w:pStyle w:val="Normal"/>
        <w:spacing w:lineRule="auto" w:line="240" w:before="0" w:after="0"/>
        <w:ind w:left="0" w:hanging="0"/>
        <w:jc w:val="both"/>
        <w:rPr>
          <w:rFonts w:ascii="Arial" w:hAnsi="Arial" w:eastAsia="" w:cs="Arial" w:eastAsiaTheme="minorEastAsia"/>
          <w:i/>
          <w:i/>
          <w:iCs/>
          <w:color w:val="auto"/>
          <w:sz w:val="22"/>
        </w:rPr>
      </w:pPr>
      <w:r>
        <w:rPr>
          <w:rFonts w:eastAsia="" w:cs="Arial" w:ascii="Arial" w:hAnsi="Arial" w:eastAsiaTheme="minorEastAsia"/>
          <w:i/>
          <w:iCs/>
          <w:color w:val="auto"/>
          <w:sz w:val="22"/>
        </w:rPr>
        <w:t xml:space="preserve">« Lorsque l'expropriant est en mesure, avant la déclaration d'utilité publique, de déterminer les parcelles à exproprier et de dresser le plan parcellaire ainsi que la liste des propriétaires, l'enquête parcellaire peut être faite en même temps que l'enquête publique préalable à la déclaration d'utilité publique ».  </w:t>
      </w:r>
    </w:p>
    <w:p>
      <w:pPr>
        <w:pStyle w:val="Normal"/>
        <w:spacing w:lineRule="auto" w:line="240" w:before="0" w:after="0"/>
        <w:ind w:left="0" w:hanging="0"/>
        <w:jc w:val="both"/>
        <w:rPr>
          <w:rFonts w:ascii="Arial" w:hAnsi="Arial" w:eastAsia="" w:cs="Arial" w:eastAsiaTheme="minorEastAsia"/>
          <w:color w:val="auto"/>
          <w:sz w:val="22"/>
        </w:rPr>
      </w:pPr>
      <w:r>
        <w:rPr>
          <w:rFonts w:eastAsia="" w:cs="Arial" w:ascii="Arial" w:hAnsi="Arial" w:eastAsiaTheme="minorEastAsia"/>
          <w:color w:val="auto"/>
          <w:sz w:val="22"/>
        </w:rPr>
        <w:t xml:space="preserve"> </w:t>
      </w:r>
    </w:p>
    <w:p>
      <w:pPr>
        <w:pStyle w:val="Normal"/>
        <w:spacing w:lineRule="auto" w:line="240" w:before="0" w:after="0"/>
        <w:ind w:left="0" w:hanging="0"/>
        <w:jc w:val="both"/>
        <w:rPr>
          <w:rFonts w:ascii="Arial" w:hAnsi="Arial" w:eastAsia="" w:cs="Arial" w:eastAsiaTheme="minorEastAsia"/>
          <w:color w:val="auto"/>
          <w:sz w:val="22"/>
        </w:rPr>
      </w:pPr>
      <w:r>
        <w:rPr>
          <w:rFonts w:eastAsia="" w:cs="Arial" w:ascii="Arial" w:hAnsi="Arial" w:eastAsiaTheme="minorEastAsia"/>
          <w:color w:val="auto"/>
          <w:sz w:val="22"/>
        </w:rPr>
        <w:t xml:space="preserve">En application de l’article L.122-1-paragraphe II du Code de l’environnement, le projet poursuivi n’entre pas dans les critères définis par l’annexe III de la directive 2011/UE modifiée du Parlement européen et du Conseil du 13 décembre 2011, concernant l’évaluation des incidences de certains projets publics et privés sur l’environnement, et n’est donc pas susceptible de faire l’objet d’une évaluation environnementale.  </w:t>
      </w:r>
    </w:p>
    <w:p>
      <w:pPr>
        <w:pStyle w:val="Normal"/>
        <w:spacing w:lineRule="auto" w:line="240" w:before="0" w:after="0"/>
        <w:ind w:left="0" w:hanging="0"/>
        <w:jc w:val="both"/>
        <w:rPr>
          <w:rFonts w:ascii="Arial" w:hAnsi="Arial" w:eastAsia="" w:cs="Arial" w:eastAsiaTheme="minorEastAsia"/>
          <w:color w:val="auto"/>
          <w:sz w:val="22"/>
        </w:rPr>
      </w:pPr>
      <w:r>
        <w:rPr>
          <w:rFonts w:eastAsia="" w:cs="Arial" w:ascii="Arial" w:hAnsi="Arial" w:eastAsiaTheme="minorEastAsia"/>
          <w:color w:val="auto"/>
          <w:sz w:val="22"/>
        </w:rPr>
        <w:t xml:space="preserve"> </w:t>
      </w:r>
    </w:p>
    <w:p>
      <w:pPr>
        <w:pStyle w:val="Normal"/>
        <w:spacing w:lineRule="auto" w:line="240" w:before="0" w:after="0"/>
        <w:ind w:left="0" w:hanging="0"/>
        <w:jc w:val="both"/>
        <w:rPr>
          <w:rFonts w:ascii="Arial" w:hAnsi="Arial" w:eastAsia="" w:cs="Arial" w:eastAsiaTheme="minorEastAsia"/>
          <w:color w:val="auto"/>
          <w:sz w:val="22"/>
        </w:rPr>
      </w:pPr>
      <w:r>
        <w:rPr>
          <w:rFonts w:eastAsia="" w:cs="Arial" w:ascii="Arial" w:hAnsi="Arial" w:eastAsiaTheme="minorEastAsia"/>
          <w:color w:val="auto"/>
          <w:sz w:val="22"/>
        </w:rPr>
        <w:t xml:space="preserve">En application de l’article R.122-2 et de son annexe du Code de l’environnement, le projet poursuivi n’entre pas dans les critères définis par le a) du point 39 de l’annexe « Travaux, constructions et opérations d’aménagement » (Travaux et constructions créant une emprise au sol au sens de l’article R.420-1 du Code de l’urbanisme supérieure ou égale à 40 000 m² dans un espace autre que les zones mentionnées à l’article R. 151-18 du Code de l’urbanisme, lorsque le Plan local d’urbanisme est applicable ; les secteurs où les constructions sont autorisées au sens de l’article L.-111-3 du même code, (en l’absence de Plan local d’urbanisme et de carte communale applicable) et n’est donc pas susceptible de faire l’objet d’une évaluation environnementale ou une étude d’impact.  </w:t>
      </w:r>
    </w:p>
    <w:p>
      <w:pPr>
        <w:pStyle w:val="Normal"/>
        <w:spacing w:lineRule="auto" w:line="247" w:before="0" w:after="5"/>
        <w:ind w:left="0" w:hanging="0"/>
        <w:jc w:val="both"/>
        <w:rPr>
          <w:rFonts w:ascii="Arial" w:hAnsi="Arial" w:eastAsia="Times New Roman" w:cs="Arial"/>
          <w:b/>
          <w:b/>
          <w:bCs/>
          <w:sz w:val="22"/>
        </w:rPr>
      </w:pPr>
      <w:r>
        <w:rPr>
          <w:rFonts w:eastAsia="Times New Roman" w:cs="Arial" w:ascii="Arial" w:hAnsi="Arial"/>
          <w:b/>
          <w:bCs/>
          <w:sz w:val="22"/>
        </w:rPr>
      </w:r>
    </w:p>
    <w:p>
      <w:pPr>
        <w:pStyle w:val="Normal"/>
        <w:spacing w:lineRule="auto" w:line="247" w:before="0" w:after="5"/>
        <w:ind w:left="0" w:hanging="0"/>
        <w:jc w:val="both"/>
        <w:rPr>
          <w:rFonts w:ascii="Arial" w:hAnsi="Arial" w:eastAsia="Times New Roman" w:cs="Arial"/>
          <w:b/>
          <w:b/>
          <w:bCs/>
          <w:sz w:val="22"/>
        </w:rPr>
      </w:pPr>
      <w:r>
        <w:rPr>
          <w:rFonts w:eastAsia="Times New Roman" w:cs="Arial" w:ascii="Arial" w:hAnsi="Arial"/>
          <w:b/>
          <w:bCs/>
          <w:sz w:val="22"/>
        </w:rPr>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t>L’ensemble de la procédure est résumé dans le schéma ci-dessous (p 13).</w:t>
      </w:r>
    </w:p>
    <w:p>
      <w:pPr>
        <w:pStyle w:val="Normal"/>
        <w:spacing w:lineRule="auto" w:line="240" w:before="0" w:after="0"/>
        <w:ind w:left="0" w:hanging="0"/>
        <w:jc w:val="center"/>
        <w:rPr>
          <w:rFonts w:ascii="Arial" w:hAnsi="Arial" w:eastAsia="" w:cs="Arial" w:eastAsiaTheme="minorEastAsia"/>
          <w:b/>
          <w:b/>
          <w:color w:val="auto"/>
          <w:sz w:val="22"/>
        </w:rPr>
      </w:pPr>
      <w:r>
        <w:rPr>
          <w:rFonts w:eastAsia="" w:cs="Arial" w:eastAsiaTheme="minorEastAsia" w:ascii="Arial" w:hAnsi="Arial"/>
          <w:b/>
          <w:color w:val="auto"/>
          <w:sz w:val="22"/>
        </w:rPr>
      </w:r>
    </w:p>
    <w:p>
      <w:pPr>
        <w:pStyle w:val="Normal"/>
        <w:spacing w:lineRule="auto" w:line="240" w:before="0" w:after="0"/>
        <w:ind w:left="0" w:hanging="0"/>
        <w:jc w:val="center"/>
        <w:rPr>
          <w:rFonts w:ascii="Arial" w:hAnsi="Arial" w:eastAsia="" w:cs="Arial" w:eastAsiaTheme="minorEastAsia"/>
          <w:b/>
          <w:b/>
          <w:color w:val="auto"/>
          <w:sz w:val="22"/>
        </w:rPr>
      </w:pPr>
      <w:r>
        <w:rPr>
          <w:rFonts w:eastAsia="" w:cs="Arial" w:eastAsiaTheme="minorEastAsia" w:ascii="Arial" w:hAnsi="Arial"/>
          <w:b/>
          <w:color w:val="auto"/>
          <w:sz w:val="22"/>
        </w:rPr>
      </w:r>
    </w:p>
    <w:p>
      <w:pPr>
        <w:pStyle w:val="Normal"/>
        <w:spacing w:lineRule="auto" w:line="240" w:before="0" w:after="0"/>
        <w:ind w:left="0" w:hanging="0"/>
        <w:jc w:val="center"/>
        <w:rPr>
          <w:rFonts w:ascii="Arial" w:hAnsi="Arial" w:eastAsia="" w:cs="Arial" w:eastAsiaTheme="minorEastAsia"/>
          <w:b/>
          <w:b/>
          <w:color w:val="auto"/>
          <w:sz w:val="22"/>
        </w:rPr>
      </w:pPr>
      <w:r>
        <w:rPr>
          <w:rFonts w:eastAsia="" w:cs="Arial" w:eastAsiaTheme="minorEastAsia" w:ascii="Arial" w:hAnsi="Arial"/>
          <w:b/>
          <w:color w:val="auto"/>
          <w:sz w:val="22"/>
        </w:rPr>
      </w:r>
    </w:p>
    <w:p>
      <w:pPr>
        <w:pStyle w:val="Normal"/>
        <w:spacing w:lineRule="auto" w:line="240" w:before="0" w:after="0"/>
        <w:ind w:left="0" w:hanging="0"/>
        <w:jc w:val="center"/>
        <w:rPr>
          <w:rFonts w:ascii="Arial" w:hAnsi="Arial" w:eastAsia="" w:cs="Arial" w:eastAsiaTheme="minorEastAsia"/>
          <w:b/>
          <w:b/>
          <w:color w:val="auto"/>
          <w:sz w:val="22"/>
        </w:rPr>
      </w:pPr>
      <w:r>
        <w:rPr>
          <w:rFonts w:eastAsia="" w:cs="Arial" w:eastAsiaTheme="minorEastAsia" w:ascii="Arial" w:hAnsi="Arial"/>
          <w:b/>
          <w:color w:val="auto"/>
          <w:sz w:val="22"/>
        </w:rPr>
      </w:r>
    </w:p>
    <w:p>
      <w:pPr>
        <w:pStyle w:val="Normal"/>
        <w:spacing w:lineRule="auto" w:line="240" w:before="0" w:after="0"/>
        <w:ind w:left="0" w:hanging="0"/>
        <w:jc w:val="center"/>
        <w:rPr>
          <w:rFonts w:ascii="Arial" w:hAnsi="Arial" w:eastAsia="" w:cs="Arial" w:eastAsiaTheme="minorEastAsia"/>
          <w:b/>
          <w:b/>
          <w:color w:val="auto"/>
          <w:sz w:val="22"/>
        </w:rPr>
      </w:pPr>
      <w:r>
        <w:rPr>
          <w:rFonts w:eastAsia="" w:cs="Arial" w:eastAsiaTheme="minorEastAsia" w:ascii="Arial" w:hAnsi="Arial"/>
          <w:b/>
          <w:color w:val="auto"/>
          <w:sz w:val="22"/>
        </w:rPr>
      </w:r>
    </w:p>
    <w:p>
      <w:pPr>
        <w:pStyle w:val="Normal"/>
        <w:spacing w:lineRule="auto" w:line="240" w:before="0" w:after="0"/>
        <w:ind w:left="0" w:hanging="0"/>
        <w:jc w:val="center"/>
        <w:rPr>
          <w:rFonts w:ascii="Arial" w:hAnsi="Arial" w:eastAsia="" w:cs="Arial" w:eastAsiaTheme="minorEastAsia"/>
          <w:b/>
          <w:b/>
          <w:color w:val="auto"/>
          <w:sz w:val="22"/>
        </w:rPr>
      </w:pPr>
      <w:r>
        <w:rPr>
          <w:rFonts w:eastAsia="" w:cs="Arial" w:eastAsiaTheme="minorEastAsia" w:ascii="Arial" w:hAnsi="Arial"/>
          <w:b/>
          <w:color w:val="auto"/>
          <w:sz w:val="22"/>
        </w:rPr>
      </w:r>
    </w:p>
    <w:p>
      <w:pPr>
        <w:pStyle w:val="Normal"/>
        <w:spacing w:lineRule="auto" w:line="240" w:before="0" w:after="0"/>
        <w:ind w:left="0" w:hanging="0"/>
        <w:jc w:val="center"/>
        <w:rPr>
          <w:rFonts w:ascii="Arial" w:hAnsi="Arial" w:eastAsia="" w:cs="Arial" w:eastAsiaTheme="minorEastAsia"/>
          <w:b/>
          <w:b/>
          <w:color w:val="auto"/>
          <w:sz w:val="22"/>
        </w:rPr>
      </w:pPr>
      <w:r>
        <w:rPr>
          <w:rFonts w:eastAsia="" w:cs="Arial" w:eastAsiaTheme="minorEastAsia" w:ascii="Arial" w:hAnsi="Arial"/>
          <w:b/>
          <w:color w:val="auto"/>
          <w:sz w:val="22"/>
        </w:rPr>
      </w:r>
    </w:p>
    <w:p>
      <w:pPr>
        <w:pStyle w:val="Normal"/>
        <w:spacing w:lineRule="auto" w:line="240" w:before="0" w:after="0"/>
        <w:ind w:left="0" w:hanging="0"/>
        <w:jc w:val="center"/>
        <w:rPr>
          <w:rFonts w:ascii="Arial" w:hAnsi="Arial" w:eastAsia="" w:cs="Arial" w:eastAsiaTheme="minorEastAsia"/>
          <w:b/>
          <w:b/>
          <w:color w:val="auto"/>
          <w:sz w:val="22"/>
        </w:rPr>
      </w:pPr>
      <w:r>
        <w:rPr>
          <w:rFonts w:eastAsia="" w:cs="Arial" w:eastAsiaTheme="minorEastAsia" w:ascii="Arial" w:hAnsi="Arial"/>
          <w:b/>
          <w:color w:val="auto"/>
          <w:sz w:val="22"/>
        </w:rPr>
      </w:r>
    </w:p>
    <w:p>
      <w:pPr>
        <w:pStyle w:val="Normal"/>
        <w:spacing w:lineRule="auto" w:line="240" w:before="0" w:after="0"/>
        <w:ind w:left="0" w:hanging="0"/>
        <w:jc w:val="center"/>
        <w:rPr>
          <w:rFonts w:ascii="Arial" w:hAnsi="Arial" w:eastAsia="" w:cs="Arial" w:eastAsiaTheme="minorEastAsia"/>
          <w:b/>
          <w:b/>
          <w:color w:val="auto"/>
          <w:sz w:val="22"/>
        </w:rPr>
      </w:pPr>
      <w:r>
        <w:rPr>
          <w:rFonts w:eastAsia="" w:cs="Arial" w:eastAsiaTheme="minorEastAsia" w:ascii="Arial" w:hAnsi="Arial"/>
          <w:b/>
          <w:color w:val="auto"/>
          <w:sz w:val="22"/>
        </w:rPr>
      </w:r>
    </w:p>
    <w:p>
      <w:pPr>
        <w:pStyle w:val="Normal"/>
        <w:spacing w:lineRule="auto" w:line="240" w:before="0" w:after="0"/>
        <w:ind w:left="0" w:hanging="0"/>
        <w:jc w:val="center"/>
        <w:rPr>
          <w:rFonts w:ascii="Arial" w:hAnsi="Arial" w:eastAsia="" w:cs="Arial" w:eastAsiaTheme="minorEastAsia"/>
          <w:b/>
          <w:b/>
          <w:color w:val="auto"/>
          <w:sz w:val="22"/>
        </w:rPr>
      </w:pPr>
      <w:r>
        <w:rPr>
          <w:rFonts w:eastAsia="" w:cs="Arial" w:eastAsiaTheme="minorEastAsia" w:ascii="Arial" w:hAnsi="Arial"/>
          <w:b/>
          <w:color w:val="auto"/>
          <w:sz w:val="22"/>
        </w:rPr>
      </w:r>
    </w:p>
    <w:p>
      <w:pPr>
        <w:pStyle w:val="Normal"/>
        <w:spacing w:lineRule="auto" w:line="240" w:before="0" w:after="0"/>
        <w:ind w:left="0" w:hanging="0"/>
        <w:jc w:val="center"/>
        <w:rPr>
          <w:rFonts w:ascii="Arial" w:hAnsi="Arial" w:eastAsia="" w:cs="Arial" w:eastAsiaTheme="minorEastAsia"/>
          <w:b/>
          <w:b/>
          <w:color w:val="auto"/>
          <w:sz w:val="22"/>
        </w:rPr>
      </w:pPr>
      <w:r>
        <w:rPr>
          <w:rFonts w:eastAsia="" w:cs="Arial" w:eastAsiaTheme="minorEastAsia" w:ascii="Arial" w:hAnsi="Arial"/>
          <w:b/>
          <w:color w:val="auto"/>
          <w:sz w:val="22"/>
        </w:rPr>
      </w:r>
    </w:p>
    <w:p>
      <w:pPr>
        <w:pStyle w:val="Normal"/>
        <w:spacing w:lineRule="auto" w:line="240" w:before="0" w:after="0"/>
        <w:ind w:left="0" w:hanging="0"/>
        <w:jc w:val="center"/>
        <w:rPr>
          <w:rFonts w:ascii="Arial" w:hAnsi="Arial" w:eastAsia="" w:cs="Arial" w:eastAsiaTheme="minorEastAsia"/>
          <w:b/>
          <w:b/>
          <w:color w:val="auto"/>
          <w:sz w:val="22"/>
        </w:rPr>
      </w:pPr>
      <w:r>
        <w:rPr>
          <w:rFonts w:eastAsia="" w:cs="Arial" w:eastAsiaTheme="minorEastAsia" w:ascii="Arial" w:hAnsi="Arial"/>
          <w:b/>
          <w:color w:val="auto"/>
          <w:sz w:val="22"/>
        </w:rPr>
      </w:r>
    </w:p>
    <w:p>
      <w:pPr>
        <w:pStyle w:val="Normal"/>
        <w:spacing w:lineRule="auto" w:line="240" w:before="0" w:after="0"/>
        <w:ind w:left="0" w:hanging="0"/>
        <w:jc w:val="center"/>
        <w:rPr>
          <w:rFonts w:ascii="Arial" w:hAnsi="Arial" w:eastAsia="" w:cs="Arial" w:eastAsiaTheme="minorEastAsia"/>
          <w:b/>
          <w:b/>
          <w:color w:val="auto"/>
          <w:sz w:val="22"/>
        </w:rPr>
      </w:pPr>
      <w:r>
        <w:rPr>
          <w:rFonts w:eastAsia="" w:cs="Arial" w:eastAsiaTheme="minorEastAsia" w:ascii="Arial" w:hAnsi="Arial"/>
          <w:b/>
          <w:color w:val="auto"/>
          <w:sz w:val="22"/>
        </w:rPr>
      </w:r>
    </w:p>
    <w:p>
      <w:pPr>
        <w:pStyle w:val="Normal"/>
        <w:spacing w:lineRule="auto" w:line="240" w:before="0" w:after="0"/>
        <w:ind w:left="0" w:hanging="0"/>
        <w:jc w:val="center"/>
        <w:rPr>
          <w:rFonts w:ascii="Arial" w:hAnsi="Arial" w:eastAsia="" w:cs="Arial" w:eastAsiaTheme="minorEastAsia"/>
          <w:b/>
          <w:b/>
          <w:color w:val="auto"/>
          <w:sz w:val="22"/>
        </w:rPr>
      </w:pPr>
      <w:r>
        <w:rPr>
          <w:rFonts w:eastAsia="" w:cs="Arial" w:eastAsiaTheme="minorEastAsia" w:ascii="Arial" w:hAnsi="Arial"/>
          <w:b/>
          <w:color w:val="auto"/>
          <w:sz w:val="22"/>
        </w:rPr>
      </w:r>
    </w:p>
    <w:p>
      <w:pPr>
        <w:pStyle w:val="Normal"/>
        <w:spacing w:lineRule="auto" w:line="240" w:before="0" w:after="0"/>
        <w:ind w:left="0" w:hanging="0"/>
        <w:jc w:val="center"/>
        <w:rPr>
          <w:rFonts w:ascii="Arial" w:hAnsi="Arial" w:eastAsia="" w:cs="Arial" w:eastAsiaTheme="minorEastAsia"/>
          <w:b/>
          <w:b/>
          <w:color w:val="auto"/>
          <w:sz w:val="22"/>
        </w:rPr>
      </w:pPr>
      <w:r>
        <w:rPr>
          <w:rFonts w:eastAsia="" w:cs="Arial" w:eastAsiaTheme="minorEastAsia" w:ascii="Arial" w:hAnsi="Arial"/>
          <w:b/>
          <w:color w:val="auto"/>
          <w:sz w:val="22"/>
        </w:rPr>
      </w:r>
    </w:p>
    <w:p>
      <w:pPr>
        <w:pStyle w:val="Normal"/>
        <w:spacing w:lineRule="auto" w:line="240" w:before="0" w:after="0"/>
        <w:ind w:left="0" w:hanging="0"/>
        <w:jc w:val="center"/>
        <w:rPr>
          <w:rFonts w:ascii="Arial" w:hAnsi="Arial" w:eastAsia="" w:cs="Arial" w:eastAsiaTheme="minorEastAsia"/>
          <w:b/>
          <w:b/>
          <w:color w:val="auto"/>
          <w:sz w:val="22"/>
        </w:rPr>
      </w:pPr>
      <w:r>
        <w:rPr>
          <w:rFonts w:eastAsia="" w:cs="Arial" w:eastAsiaTheme="minorEastAsia" w:ascii="Arial" w:hAnsi="Arial"/>
          <w:b/>
          <w:color w:val="auto"/>
          <w:sz w:val="22"/>
        </w:rPr>
      </w:r>
    </w:p>
    <w:p>
      <w:pPr>
        <w:pStyle w:val="Normal"/>
        <w:spacing w:lineRule="auto" w:line="240" w:before="0" w:after="0"/>
        <w:ind w:left="0" w:hanging="0"/>
        <w:jc w:val="center"/>
        <w:rPr>
          <w:rFonts w:ascii="Arial" w:hAnsi="Arial" w:eastAsia="" w:cs="Arial" w:eastAsiaTheme="minorEastAsia"/>
          <w:b/>
          <w:b/>
          <w:color w:val="auto"/>
          <w:sz w:val="22"/>
        </w:rPr>
      </w:pPr>
      <w:r>
        <w:rPr>
          <w:rFonts w:eastAsia="" w:cs="Arial" w:eastAsiaTheme="minorEastAsia" w:ascii="Arial" w:hAnsi="Arial"/>
          <w:b/>
          <w:color w:val="auto"/>
          <w:sz w:val="22"/>
        </w:rPr>
      </w:r>
    </w:p>
    <w:p>
      <w:pPr>
        <w:pStyle w:val="Normal"/>
        <w:spacing w:lineRule="auto" w:line="240" w:before="0" w:after="0"/>
        <w:ind w:left="0" w:hanging="0"/>
        <w:jc w:val="center"/>
        <w:rPr>
          <w:rFonts w:ascii="Arial" w:hAnsi="Arial" w:eastAsia="" w:cs="Arial" w:eastAsiaTheme="minorEastAsia"/>
          <w:b/>
          <w:b/>
          <w:color w:val="auto"/>
          <w:sz w:val="22"/>
        </w:rPr>
      </w:pPr>
      <w:r>
        <w:rPr>
          <w:rFonts w:eastAsia="" w:cs="Arial" w:eastAsiaTheme="minorEastAsia" w:ascii="Arial" w:hAnsi="Arial"/>
          <w:b/>
          <w:color w:val="auto"/>
          <w:sz w:val="22"/>
        </w:rPr>
      </w:r>
    </w:p>
    <w:p>
      <w:pPr>
        <w:pStyle w:val="Normal"/>
        <w:spacing w:lineRule="auto" w:line="240" w:before="0" w:after="0"/>
        <w:ind w:left="0" w:hanging="0"/>
        <w:jc w:val="center"/>
        <w:rPr>
          <w:rFonts w:ascii="Arial" w:hAnsi="Arial" w:eastAsia="" w:cs="Arial" w:eastAsiaTheme="minorEastAsia"/>
          <w:b/>
          <w:b/>
          <w:color w:val="auto"/>
          <w:sz w:val="22"/>
        </w:rPr>
      </w:pPr>
      <w:r>
        <w:rPr>
          <w:rFonts w:eastAsia="" w:cs="Arial" w:eastAsiaTheme="minorEastAsia" w:ascii="Arial" w:hAnsi="Arial"/>
          <w:b/>
          <w:color w:val="auto"/>
          <w:sz w:val="22"/>
        </w:rPr>
      </w:r>
    </w:p>
    <w:p>
      <w:pPr>
        <w:pStyle w:val="Normal"/>
        <w:spacing w:lineRule="auto" w:line="240" w:before="0" w:after="0"/>
        <w:ind w:left="0" w:hanging="0"/>
        <w:rPr>
          <w:rFonts w:ascii="Arial" w:hAnsi="Arial" w:eastAsia="" w:cs="Arial" w:eastAsiaTheme="minorEastAsia"/>
          <w:b/>
          <w:b/>
          <w:color w:val="auto"/>
          <w:sz w:val="22"/>
        </w:rPr>
      </w:pPr>
      <w:r>
        <w:rPr>
          <w:rFonts w:eastAsia="" w:cs="Arial" w:eastAsiaTheme="minorEastAsia" w:ascii="Arial" w:hAnsi="Arial"/>
          <w:b/>
          <w:color w:val="auto"/>
          <w:sz w:val="22"/>
        </w:rPr>
      </w:r>
    </w:p>
    <w:p>
      <w:pPr>
        <w:pStyle w:val="Normal"/>
        <w:spacing w:lineRule="auto" w:line="240" w:before="0" w:after="0"/>
        <w:ind w:left="0" w:hanging="0"/>
        <w:jc w:val="center"/>
        <w:rPr>
          <w:rFonts w:ascii="Arial" w:hAnsi="Arial" w:eastAsia="" w:cs="Arial" w:eastAsiaTheme="minorEastAsia"/>
          <w:color w:val="auto"/>
          <w:sz w:val="22"/>
        </w:rPr>
      </w:pPr>
      <w:r>
        <w:rPr>
          <w:rFonts w:eastAsia="" w:cs="Arial" w:ascii="Arial" w:hAnsi="Arial" w:eastAsiaTheme="minorEastAsia"/>
          <w:b/>
          <w:color w:val="auto"/>
          <w:sz w:val="22"/>
        </w:rPr>
        <w:t>SCHÉMA SYNTHÉTIQUE DE LA PHASE ADMINISTRATIVE</w:t>
      </w:r>
    </w:p>
    <w:p>
      <w:pPr>
        <w:pStyle w:val="Normal"/>
        <w:spacing w:lineRule="auto" w:line="240" w:before="0" w:after="0"/>
        <w:ind w:left="0" w:hanging="0"/>
        <w:jc w:val="center"/>
        <w:rPr>
          <w:rFonts w:ascii="Arial" w:hAnsi="Arial" w:eastAsia="" w:cs="Arial" w:eastAsiaTheme="minorEastAsia"/>
          <w:b/>
          <w:b/>
          <w:color w:val="auto"/>
          <w:sz w:val="22"/>
        </w:rPr>
      </w:pPr>
      <w:r>
        <w:rPr>
          <w:rFonts w:eastAsia="" w:cs="Arial" w:eastAsiaTheme="minorEastAsia" w:ascii="Arial" w:hAnsi="Arial"/>
          <w:b/>
          <w:color w:val="auto"/>
          <w:sz w:val="22"/>
        </w:rPr>
      </w:r>
    </w:p>
    <w:p>
      <w:pPr>
        <w:pStyle w:val="Normal"/>
        <w:spacing w:lineRule="auto" w:line="240" w:before="0" w:after="0"/>
        <w:ind w:left="0" w:hanging="0"/>
        <w:jc w:val="center"/>
        <w:rPr>
          <w:rFonts w:ascii="Arial" w:hAnsi="Arial" w:eastAsia="" w:cs="Arial" w:eastAsiaTheme="minorEastAsia"/>
          <w:b/>
          <w:b/>
          <w:color w:val="auto"/>
          <w:sz w:val="22"/>
        </w:rPr>
      </w:pPr>
      <w:r>
        <w:rPr/>
        <w:drawing>
          <wp:inline distT="0" distB="0" distL="0" distR="0">
            <wp:extent cx="5425440" cy="7908290"/>
            <wp:effectExtent l="0" t="0" r="0" b="0"/>
            <wp:docPr id="11" name="Image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 descr="Une image contenant capture d’écran&#10;&#10;Description générée automatiquement"/>
                    <pic:cNvPicPr>
                      <a:picLocks noChangeAspect="1" noChangeArrowheads="1"/>
                    </pic:cNvPicPr>
                  </pic:nvPicPr>
                  <pic:blipFill>
                    <a:blip r:embed="rId16"/>
                    <a:stretch>
                      <a:fillRect/>
                    </a:stretch>
                  </pic:blipFill>
                  <pic:spPr bwMode="auto">
                    <a:xfrm>
                      <a:off x="0" y="0"/>
                      <a:ext cx="5425440" cy="7908290"/>
                    </a:xfrm>
                    <a:prstGeom prst="rect">
                      <a:avLst/>
                    </a:prstGeom>
                  </pic:spPr>
                </pic:pic>
              </a:graphicData>
            </a:graphic>
          </wp:inline>
        </w:drawing>
      </w:r>
    </w:p>
    <w:p>
      <w:pPr>
        <w:pStyle w:val="Normal"/>
        <w:pBdr>
          <w:top w:val="single" w:sz="2" w:space="0" w:color="000000"/>
          <w:left w:val="single" w:sz="2" w:space="0" w:color="000000"/>
          <w:bottom w:val="single" w:sz="2" w:space="0" w:color="000000"/>
          <w:right w:val="single" w:sz="2" w:space="0" w:color="000000"/>
        </w:pBdr>
        <w:spacing w:lineRule="auto" w:line="259" w:before="0" w:after="0"/>
        <w:ind w:left="178" w:hanging="0"/>
        <w:jc w:val="center"/>
        <w:rPr>
          <w:rFonts w:ascii="Times New Roman" w:hAnsi="Times New Roman" w:eastAsia="Times New Roman" w:cs="Times New Roman"/>
        </w:rPr>
      </w:pPr>
      <w:r>
        <w:rPr>
          <w:rFonts w:eastAsia="Times New Roman" w:cs="Times New Roman" w:ascii="Times New Roman" w:hAnsi="Times New Roman"/>
        </w:rPr>
        <w:t>Transmission du dossier au juge de l'expropriation</w:t>
      </w:r>
    </w:p>
    <w:p>
      <w:pPr>
        <w:pStyle w:val="Normal"/>
        <w:spacing w:lineRule="auto" w:line="247" w:before="0" w:after="5"/>
        <w:ind w:left="0" w:hanging="0"/>
        <w:jc w:val="both"/>
        <w:rPr>
          <w:rFonts w:ascii="Arial" w:hAnsi="Arial" w:eastAsia="Times New Roman" w:cs="Arial"/>
          <w:b/>
          <w:b/>
          <w:bCs/>
          <w:sz w:val="22"/>
        </w:rPr>
      </w:pPr>
      <w:r>
        <w:rPr>
          <w:rFonts w:eastAsia="Times New Roman" w:cs="Arial" w:ascii="Arial" w:hAnsi="Arial"/>
          <w:b/>
          <w:bCs/>
          <w:sz w:val="22"/>
        </w:rPr>
      </w:r>
    </w:p>
    <w:p>
      <w:pPr>
        <w:pStyle w:val="Normal"/>
        <w:spacing w:lineRule="auto" w:line="247" w:before="0" w:after="5"/>
        <w:ind w:left="0" w:hanging="0"/>
        <w:jc w:val="both"/>
        <w:rPr>
          <w:rFonts w:ascii="Arial" w:hAnsi="Arial" w:eastAsia="Times New Roman" w:cs="Arial"/>
          <w:b/>
          <w:b/>
          <w:bCs/>
          <w:sz w:val="22"/>
        </w:rPr>
      </w:pPr>
      <w:r>
        <w:rPr>
          <w:rFonts w:eastAsia="Times New Roman" w:cs="Arial" w:ascii="Arial" w:hAnsi="Arial"/>
          <w:b/>
          <w:bCs/>
          <w:sz w:val="22"/>
        </w:rPr>
      </w:r>
    </w:p>
    <w:p>
      <w:pPr>
        <w:pStyle w:val="ListParagraph"/>
        <w:numPr>
          <w:ilvl w:val="1"/>
          <w:numId w:val="1"/>
        </w:numPr>
        <w:spacing w:lineRule="auto" w:line="247" w:before="0" w:after="5"/>
        <w:contextualSpacing/>
        <w:jc w:val="both"/>
        <w:rPr>
          <w:rFonts w:ascii="Arial" w:hAnsi="Arial" w:eastAsia="Times New Roman" w:cs="Arial"/>
          <w:b/>
          <w:b/>
          <w:bCs/>
          <w:sz w:val="22"/>
        </w:rPr>
      </w:pPr>
      <w:r>
        <w:rPr>
          <w:rFonts w:eastAsia="Times New Roman" w:cs="Arial" w:ascii="Arial" w:hAnsi="Arial"/>
          <w:b/>
          <w:bCs/>
          <w:sz w:val="22"/>
        </w:rPr>
        <w:t>Présentation succincte du projet (extrait de la notice explicative)</w:t>
      </w:r>
    </w:p>
    <w:p>
      <w:pPr>
        <w:pStyle w:val="Normal"/>
        <w:spacing w:lineRule="auto" w:line="247" w:before="0" w:after="5"/>
        <w:jc w:val="both"/>
        <w:rPr>
          <w:rFonts w:ascii="Arial" w:hAnsi="Arial" w:eastAsia="Times New Roman" w:cs="Arial"/>
          <w:b/>
          <w:b/>
          <w:bCs/>
          <w:sz w:val="22"/>
        </w:rPr>
      </w:pPr>
      <w:r>
        <w:rPr>
          <w:rFonts w:eastAsia="Times New Roman" w:cs="Arial" w:ascii="Arial" w:hAnsi="Arial"/>
          <w:b/>
          <w:bCs/>
          <w:sz w:val="22"/>
        </w:rPr>
      </w:r>
    </w:p>
    <w:p>
      <w:pPr>
        <w:pStyle w:val="Normal"/>
        <w:rPr>
          <w:rFonts w:ascii="Arial" w:hAnsi="Arial" w:cs="Arial"/>
          <w:sz w:val="22"/>
        </w:rPr>
      </w:pPr>
      <w:r>
        <w:rPr>
          <w:rFonts w:cs="Arial" w:ascii="Arial" w:hAnsi="Arial"/>
          <w:sz w:val="22"/>
        </w:rPr>
        <w:t>Les constats portés par le PLU en 2017 ont motivé l’inscription du quartier des Marronniers dans un quartier d’intérêt régional au sens de l’Agence Nationale de l’Amélioration de l’Habitat (ANAH) (QP095034, Gonesse, Villiers-le-Bel, Arnouville, Carreaux-Fauconnière-Marronniers-Pôle Gare), présentant des dysfonctionnements urbains d’importance régionale.</w:t>
      </w:r>
    </w:p>
    <w:p>
      <w:pPr>
        <w:pStyle w:val="Normal"/>
        <w:ind w:left="21" w:hanging="0"/>
        <w:rPr>
          <w:rFonts w:ascii="Arial" w:hAnsi="Arial" w:cs="Arial"/>
          <w:sz w:val="22"/>
        </w:rPr>
      </w:pPr>
      <w:r>
        <w:rPr>
          <w:rFonts w:cs="Arial" w:ascii="Arial" w:hAnsi="Arial"/>
          <w:sz w:val="22"/>
        </w:rPr>
        <w:t>La convention cadre NPNRU prévoit pour ce secteur le déploiement d’une stratégie de diversification résidentielle dans laquelle s’inscrit ce projet. Bien que l’opération ne soit pas située directement dans le périmètre NPNRU, elle est située à ses abords immédiats et répond à quatre objectifs sur les cinq identifiés puisqu’elle vise à rendre possible, grâce à la puissance publique, la réalisation d’une opération d’habitat individuel en accession à prix maîtrisé, sur un terrain d’entrée de ville en friche, car non géré par des propriétaires qui n’en ont pas les moyens.</w:t>
      </w:r>
    </w:p>
    <w:p>
      <w:pPr>
        <w:pStyle w:val="Normal"/>
        <w:rPr>
          <w:rFonts w:ascii="Arial" w:hAnsi="Arial" w:cs="Arial"/>
          <w:sz w:val="22"/>
        </w:rPr>
      </w:pPr>
      <w:r>
        <w:rPr>
          <w:rFonts w:cs="Arial" w:ascii="Arial" w:hAnsi="Arial"/>
          <w:sz w:val="22"/>
        </w:rPr>
        <w:t>Le projet d’expropriation, a donc pour objectif la création d’un lotissement dit « des Jasmins » de 20 lots à bâtir destinés à l’accueil de maisons individuelles à coût maîtrisé en accession libre à la propriété, d’une aire de jeux, d’un terrain de pétanque et de places de stationnement publiques.</w:t>
      </w:r>
    </w:p>
    <w:p>
      <w:pPr>
        <w:pStyle w:val="Normal"/>
        <w:ind w:left="21" w:hanging="0"/>
        <w:rPr>
          <w:rFonts w:ascii="Arial" w:hAnsi="Arial" w:cs="Arial"/>
          <w:sz w:val="22"/>
        </w:rPr>
      </w:pPr>
      <w:r>
        <w:rPr>
          <w:rFonts w:cs="Arial" w:ascii="Arial" w:hAnsi="Arial"/>
          <w:sz w:val="22"/>
        </w:rPr>
        <w:tab/>
      </w:r>
      <w:r>
        <w:rPr/>
        <mc:AlternateContent>
          <mc:Choice Requires="wps">
            <w:drawing>
              <wp:inline distT="0" distB="0" distL="0" distR="0" wp14:anchorId="0098A508">
                <wp:extent cx="2575560" cy="4455160"/>
                <wp:effectExtent l="0" t="0" r="3810" b="3810"/>
                <wp:docPr id="12" name="Image 3" descr="Une image contenant carte, texte, diagramme, Plan&#10;&#10;Description générée automatiquement"/>
                <a:graphic xmlns:a="http://schemas.openxmlformats.org/drawingml/2006/main">
                  <a:graphicData uri="http://schemas.openxmlformats.org/drawingml/2006/picture">
                    <pic:pic xmlns:pic="http://schemas.openxmlformats.org/drawingml/2006/picture">
                      <pic:nvPicPr>
                        <pic:cNvPr id="4" name="Image 3" descr="Une image contenant carte, texte, diagramme, Plan&#10;&#10;Description générée automatiquement"/>
                        <pic:cNvPicPr/>
                      </pic:nvPicPr>
                      <pic:blipFill>
                        <a:blip r:embed="rId17"/>
                        <a:srcRect l="9947" t="3503" r="7598" b="0"/>
                        <a:stretch/>
                      </pic:blipFill>
                      <pic:spPr>
                        <a:xfrm rot="5400000">
                          <a:off x="0" y="0"/>
                          <a:ext cx="2575080" cy="4454640"/>
                        </a:xfrm>
                        <a:prstGeom prst="rect">
                          <a:avLst/>
                        </a:prstGeom>
                        <a:ln w="0">
                          <a:noFill/>
                        </a:ln>
                      </pic:spPr>
                    </pic:pic>
                  </a:graphicData>
                </a:graphic>
              </wp:inline>
            </w:drawing>
          </mc:Choice>
          <mc:Fallback>
            <w:pict>
              <v:shape id="shape_0" ID="Image 3" stroked="f" style="position:absolute;margin-left:74pt;margin-top:-276.75pt;width:202.7pt;height:350.7pt;mso-wrap-style:none;v-text-anchor:middle;rotation:90;mso-position-vertical:top" wp14:anchorId="0098A508" type="shapetype_75">
                <v:imagedata r:id="rId17" o:detectmouseclick="t"/>
                <v:stroke color="#3465a4" joinstyle="round" endcap="flat"/>
                <w10:wrap type="square"/>
              </v:shape>
            </w:pict>
          </mc:Fallback>
        </mc:AlternateContent>
      </w:r>
    </w:p>
    <w:p>
      <w:pPr>
        <w:pStyle w:val="Normal"/>
        <w:rPr>
          <w:rFonts w:ascii="Arial" w:hAnsi="Arial" w:cs="Arial"/>
          <w:i/>
          <w:i/>
          <w:iCs/>
          <w:sz w:val="18"/>
          <w:szCs w:val="18"/>
        </w:rPr>
      </w:pPr>
      <w:r>
        <w:rPr>
          <w:rFonts w:cs="Arial" w:ascii="Arial" w:hAnsi="Arial"/>
          <w:i/>
          <w:iCs/>
          <w:sz w:val="18"/>
          <w:szCs w:val="18"/>
        </w:rPr>
        <w:t xml:space="preserve">Projet de création du lotissement dit « Les Jasmins » - 20 lots à bâtir </w:t>
      </w:r>
    </w:p>
    <w:p>
      <w:pPr>
        <w:pStyle w:val="Normal"/>
        <w:rPr>
          <w:rFonts w:ascii="Arial" w:hAnsi="Arial" w:cs="Arial"/>
          <w:sz w:val="22"/>
        </w:rPr>
      </w:pPr>
      <w:r>
        <w:rPr>
          <w:rFonts w:cs="Arial" w:ascii="Arial" w:hAnsi="Arial"/>
          <w:sz w:val="22"/>
        </w:rPr>
        <w:tab/>
        <w:tab/>
      </w:r>
      <w:r>
        <w:rPr/>
        <w:drawing>
          <wp:inline distT="0" distB="0" distL="0" distR="0">
            <wp:extent cx="4671060" cy="2354580"/>
            <wp:effectExtent l="0" t="0" r="0" b="0"/>
            <wp:docPr id="13" name="Image 35" descr="Une image contenant carte, capture d’écran, Photographie aérienne, Vue plonge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35" descr="Une image contenant carte, capture d’écran, Photographie aérienne, Vue plongeante&#10;&#10;Description générée automatiquement"/>
                    <pic:cNvPicPr>
                      <a:picLocks noChangeAspect="1" noChangeArrowheads="1"/>
                    </pic:cNvPicPr>
                  </pic:nvPicPr>
                  <pic:blipFill>
                    <a:blip r:embed="rId18"/>
                    <a:srcRect l="0" t="0" r="0" b="23947"/>
                    <a:stretch>
                      <a:fillRect/>
                    </a:stretch>
                  </pic:blipFill>
                  <pic:spPr bwMode="auto">
                    <a:xfrm>
                      <a:off x="0" y="0"/>
                      <a:ext cx="4671060" cy="2354580"/>
                    </a:xfrm>
                    <a:prstGeom prst="rect">
                      <a:avLst/>
                    </a:prstGeom>
                  </pic:spPr>
                </pic:pic>
              </a:graphicData>
            </a:graphic>
          </wp:inline>
        </w:drawing>
      </w:r>
    </w:p>
    <w:p>
      <w:pPr>
        <w:pStyle w:val="Normal"/>
        <w:rPr>
          <w:rFonts w:ascii="Arial" w:hAnsi="Arial" w:cs="Arial"/>
          <w:sz w:val="22"/>
        </w:rPr>
      </w:pPr>
      <w:r>
        <w:rPr>
          <w:rFonts w:cs="Arial" w:ascii="Arial" w:hAnsi="Arial"/>
          <w:i/>
          <w:iCs/>
          <w:sz w:val="18"/>
          <w:szCs w:val="18"/>
        </w:rPr>
        <w:t>Déplacement et réaménagement des terrains de jeux et du terrain de boule</w:t>
      </w:r>
    </w:p>
    <w:p>
      <w:pPr>
        <w:pStyle w:val="Normal"/>
        <w:rPr>
          <w:rFonts w:ascii="Arial" w:hAnsi="Arial" w:cs="Arial"/>
          <w:sz w:val="22"/>
        </w:rPr>
      </w:pPr>
      <w:r>
        <w:rPr>
          <w:rFonts w:cs="Arial" w:ascii="Arial" w:hAnsi="Arial"/>
          <w:sz w:val="22"/>
        </w:rPr>
        <w:t xml:space="preserve">Le périmètre de la DUP porte sur une superficie d’environ </w:t>
      </w:r>
      <w:r>
        <w:rPr>
          <w:rFonts w:cs="Arial" w:ascii="Arial" w:hAnsi="Arial"/>
          <w:sz w:val="21"/>
          <w:szCs w:val="21"/>
        </w:rPr>
        <w:t xml:space="preserve">13 280 m² sur </w:t>
      </w:r>
      <w:r>
        <w:rPr>
          <w:rFonts w:cs="Arial" w:ascii="Arial" w:hAnsi="Arial"/>
          <w:sz w:val="22"/>
        </w:rPr>
        <w:t xml:space="preserve">un ensemble de 11 parcelles : </w:t>
      </w:r>
    </w:p>
    <w:tbl>
      <w:tblPr>
        <w:tblStyle w:val="Grilledutableau"/>
        <w:tblW w:w="9060"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4530"/>
        <w:gridCol w:w="4529"/>
      </w:tblGrid>
      <w:tr>
        <w:trPr/>
        <w:tc>
          <w:tcPr>
            <w:tcW w:w="4530" w:type="dxa"/>
            <w:tcBorders/>
            <w:shd w:color="auto" w:fill="BFBFBF" w:themeFill="background1" w:themeFillShade="bf" w:val="clear"/>
          </w:tcPr>
          <w:p>
            <w:pPr>
              <w:pStyle w:val="Normal"/>
              <w:widowControl/>
              <w:spacing w:before="0" w:after="149"/>
              <w:jc w:val="center"/>
              <w:rPr>
                <w:rFonts w:ascii="Arial" w:hAnsi="Arial" w:cs="Arial"/>
                <w:sz w:val="22"/>
              </w:rPr>
            </w:pPr>
            <w:r>
              <w:rPr>
                <w:rFonts w:cs="Arial" w:ascii="Arial" w:hAnsi="Arial"/>
                <w:kern w:val="0"/>
                <w:sz w:val="22"/>
                <w:szCs w:val="22"/>
                <w:lang w:val="fr-FR" w:eastAsia="en-US" w:bidi="ar-SA"/>
              </w:rPr>
              <w:t>Référence cadastrale</w:t>
            </w:r>
          </w:p>
        </w:tc>
        <w:tc>
          <w:tcPr>
            <w:tcW w:w="4529" w:type="dxa"/>
            <w:tcBorders/>
            <w:shd w:color="auto" w:fill="BFBFBF" w:themeFill="background1" w:themeFillShade="bf" w:val="clear"/>
          </w:tcPr>
          <w:p>
            <w:pPr>
              <w:pStyle w:val="Normal"/>
              <w:widowControl/>
              <w:spacing w:before="0" w:after="149"/>
              <w:jc w:val="center"/>
              <w:rPr>
                <w:rFonts w:ascii="Arial" w:hAnsi="Arial" w:cs="Arial"/>
                <w:sz w:val="22"/>
              </w:rPr>
            </w:pPr>
            <w:r>
              <w:rPr>
                <w:rFonts w:cs="Arial" w:ascii="Arial" w:hAnsi="Arial"/>
                <w:kern w:val="0"/>
                <w:sz w:val="22"/>
                <w:szCs w:val="22"/>
                <w:lang w:val="fr-FR" w:eastAsia="en-US" w:bidi="ar-SA"/>
              </w:rPr>
              <w:t>Superficie en m2</w:t>
            </w:r>
          </w:p>
        </w:tc>
      </w:tr>
      <w:tr>
        <w:trPr/>
        <w:tc>
          <w:tcPr>
            <w:tcW w:w="4530" w:type="dxa"/>
            <w:tcBorders/>
          </w:tcPr>
          <w:p>
            <w:pPr>
              <w:pStyle w:val="Normal"/>
              <w:widowControl/>
              <w:spacing w:before="0" w:after="149"/>
              <w:jc w:val="center"/>
              <w:rPr>
                <w:rFonts w:ascii="Arial" w:hAnsi="Arial" w:cs="Arial"/>
                <w:sz w:val="22"/>
              </w:rPr>
            </w:pPr>
            <w:r>
              <w:rPr>
                <w:rFonts w:cs="Arial" w:ascii="Arial" w:hAnsi="Arial"/>
                <w:kern w:val="0"/>
                <w:sz w:val="22"/>
                <w:szCs w:val="22"/>
                <w:lang w:val="fr-FR" w:eastAsia="en-US" w:bidi="ar-SA"/>
              </w:rPr>
              <w:t>AD 1 </w:t>
            </w:r>
          </w:p>
        </w:tc>
        <w:tc>
          <w:tcPr>
            <w:tcW w:w="4529" w:type="dxa"/>
            <w:tcBorders/>
          </w:tcPr>
          <w:p>
            <w:pPr>
              <w:pStyle w:val="Normal"/>
              <w:widowControl/>
              <w:spacing w:before="0" w:after="149"/>
              <w:jc w:val="left"/>
              <w:rPr>
                <w:rFonts w:ascii="Arial" w:hAnsi="Arial" w:cs="Arial"/>
                <w:sz w:val="22"/>
              </w:rPr>
            </w:pPr>
            <w:r>
              <w:rPr>
                <w:rFonts w:cs="Arial" w:ascii="Arial" w:hAnsi="Arial"/>
                <w:kern w:val="0"/>
                <w:sz w:val="22"/>
                <w:szCs w:val="22"/>
                <w:lang w:val="fr-FR" w:eastAsia="en-US" w:bidi="ar-SA"/>
              </w:rPr>
              <w:t xml:space="preserve">                         </w:t>
            </w:r>
            <w:r>
              <w:rPr>
                <w:rFonts w:cs="Arial" w:ascii="Arial" w:hAnsi="Arial"/>
                <w:kern w:val="0"/>
                <w:sz w:val="22"/>
                <w:szCs w:val="22"/>
                <w:lang w:val="fr-FR" w:eastAsia="en-US" w:bidi="ar-SA"/>
              </w:rPr>
              <w:t>984</w:t>
            </w:r>
          </w:p>
        </w:tc>
      </w:tr>
      <w:tr>
        <w:trPr/>
        <w:tc>
          <w:tcPr>
            <w:tcW w:w="4530" w:type="dxa"/>
            <w:tcBorders/>
          </w:tcPr>
          <w:p>
            <w:pPr>
              <w:pStyle w:val="Normal"/>
              <w:widowControl/>
              <w:spacing w:before="0" w:after="149"/>
              <w:jc w:val="center"/>
              <w:rPr>
                <w:rFonts w:ascii="Arial" w:hAnsi="Arial" w:cs="Arial"/>
                <w:sz w:val="22"/>
              </w:rPr>
            </w:pPr>
            <w:r>
              <w:rPr>
                <w:rFonts w:cs="Arial" w:ascii="Arial" w:hAnsi="Arial"/>
                <w:kern w:val="0"/>
                <w:sz w:val="22"/>
                <w:szCs w:val="22"/>
                <w:lang w:val="fr-FR" w:eastAsia="en-US" w:bidi="ar-SA"/>
              </w:rPr>
              <w:t>AD 355 </w:t>
            </w:r>
          </w:p>
        </w:tc>
        <w:tc>
          <w:tcPr>
            <w:tcW w:w="4529" w:type="dxa"/>
            <w:tcBorders/>
          </w:tcPr>
          <w:p>
            <w:pPr>
              <w:pStyle w:val="Normal"/>
              <w:widowControl/>
              <w:spacing w:before="0" w:after="149"/>
              <w:jc w:val="left"/>
              <w:rPr>
                <w:rFonts w:ascii="Arial" w:hAnsi="Arial" w:cs="Arial"/>
                <w:sz w:val="22"/>
              </w:rPr>
            </w:pPr>
            <w:r>
              <w:rPr>
                <w:rFonts w:cs="Arial" w:ascii="Arial" w:hAnsi="Arial"/>
                <w:kern w:val="0"/>
                <w:sz w:val="22"/>
                <w:szCs w:val="22"/>
                <w:lang w:val="fr-FR" w:eastAsia="en-US" w:bidi="ar-SA"/>
              </w:rPr>
              <w:t xml:space="preserve">                      </w:t>
            </w:r>
            <w:r>
              <w:rPr>
                <w:rFonts w:cs="Arial" w:ascii="Arial" w:hAnsi="Arial"/>
                <w:kern w:val="0"/>
                <w:sz w:val="22"/>
                <w:szCs w:val="22"/>
                <w:lang w:val="fr-FR" w:eastAsia="en-US" w:bidi="ar-SA"/>
              </w:rPr>
              <w:t>1 401</w:t>
            </w:r>
          </w:p>
        </w:tc>
      </w:tr>
      <w:tr>
        <w:trPr/>
        <w:tc>
          <w:tcPr>
            <w:tcW w:w="4530" w:type="dxa"/>
            <w:tcBorders/>
          </w:tcPr>
          <w:p>
            <w:pPr>
              <w:pStyle w:val="Normal"/>
              <w:widowControl/>
              <w:spacing w:before="0" w:after="149"/>
              <w:jc w:val="center"/>
              <w:rPr>
                <w:rFonts w:ascii="Arial" w:hAnsi="Arial" w:cs="Arial"/>
                <w:sz w:val="22"/>
              </w:rPr>
            </w:pPr>
            <w:r>
              <w:rPr>
                <w:rFonts w:cs="Arial" w:ascii="Arial" w:hAnsi="Arial"/>
                <w:kern w:val="0"/>
                <w:sz w:val="22"/>
                <w:szCs w:val="22"/>
                <w:lang w:val="fr-FR" w:eastAsia="en-US" w:bidi="ar-SA"/>
              </w:rPr>
              <w:t xml:space="preserve">AD 825   </w:t>
            </w:r>
          </w:p>
        </w:tc>
        <w:tc>
          <w:tcPr>
            <w:tcW w:w="4529" w:type="dxa"/>
            <w:tcBorders/>
          </w:tcPr>
          <w:p>
            <w:pPr>
              <w:pStyle w:val="Normal"/>
              <w:widowControl/>
              <w:spacing w:before="0" w:after="149"/>
              <w:jc w:val="left"/>
              <w:rPr>
                <w:rFonts w:ascii="Arial" w:hAnsi="Arial" w:cs="Arial"/>
                <w:sz w:val="22"/>
              </w:rPr>
            </w:pPr>
            <w:r>
              <w:rPr>
                <w:rFonts w:cs="Arial" w:ascii="Arial" w:hAnsi="Arial"/>
                <w:kern w:val="0"/>
                <w:sz w:val="22"/>
                <w:szCs w:val="22"/>
                <w:lang w:val="fr-FR" w:eastAsia="en-US" w:bidi="ar-SA"/>
              </w:rPr>
              <w:t xml:space="preserve">                           </w:t>
            </w:r>
            <w:r>
              <w:rPr>
                <w:rFonts w:cs="Arial" w:ascii="Arial" w:hAnsi="Arial"/>
                <w:kern w:val="0"/>
                <w:sz w:val="22"/>
                <w:szCs w:val="22"/>
                <w:lang w:val="fr-FR" w:eastAsia="en-US" w:bidi="ar-SA"/>
              </w:rPr>
              <w:t>11</w:t>
            </w:r>
          </w:p>
        </w:tc>
      </w:tr>
      <w:tr>
        <w:trPr>
          <w:trHeight w:val="459" w:hRule="atLeast"/>
        </w:trPr>
        <w:tc>
          <w:tcPr>
            <w:tcW w:w="4530" w:type="dxa"/>
            <w:tcBorders/>
          </w:tcPr>
          <w:p>
            <w:pPr>
              <w:pStyle w:val="Normal"/>
              <w:widowControl/>
              <w:spacing w:before="0" w:after="149"/>
              <w:jc w:val="center"/>
              <w:rPr>
                <w:rFonts w:ascii="Arial" w:hAnsi="Arial" w:cs="Arial"/>
                <w:sz w:val="22"/>
              </w:rPr>
            </w:pPr>
            <w:r>
              <w:rPr>
                <w:rFonts w:cs="Arial" w:ascii="Arial" w:hAnsi="Arial"/>
                <w:kern w:val="0"/>
                <w:sz w:val="22"/>
                <w:szCs w:val="22"/>
                <w:lang w:val="fr-FR" w:eastAsia="en-US" w:bidi="ar-SA"/>
              </w:rPr>
              <w:t xml:space="preserve">AD 826  </w:t>
            </w:r>
          </w:p>
        </w:tc>
        <w:tc>
          <w:tcPr>
            <w:tcW w:w="4529" w:type="dxa"/>
            <w:tcBorders/>
          </w:tcPr>
          <w:p>
            <w:pPr>
              <w:pStyle w:val="Normal"/>
              <w:widowControl/>
              <w:spacing w:before="0" w:after="149"/>
              <w:jc w:val="left"/>
              <w:rPr>
                <w:rFonts w:ascii="Arial" w:hAnsi="Arial" w:cs="Arial"/>
                <w:sz w:val="22"/>
              </w:rPr>
            </w:pPr>
            <w:r>
              <w:rPr>
                <w:rFonts w:cs="Arial" w:ascii="Arial" w:hAnsi="Arial"/>
                <w:kern w:val="0"/>
                <w:sz w:val="22"/>
                <w:szCs w:val="22"/>
                <w:lang w:val="fr-FR" w:eastAsia="en-US" w:bidi="ar-SA"/>
              </w:rPr>
              <w:t xml:space="preserve">                      </w:t>
            </w:r>
            <w:r>
              <w:rPr>
                <w:rFonts w:cs="Arial" w:ascii="Arial" w:hAnsi="Arial"/>
                <w:kern w:val="0"/>
                <w:sz w:val="22"/>
                <w:szCs w:val="22"/>
                <w:lang w:val="fr-FR" w:eastAsia="en-US" w:bidi="ar-SA"/>
              </w:rPr>
              <w:t>2 354</w:t>
            </w:r>
          </w:p>
        </w:tc>
      </w:tr>
      <w:tr>
        <w:trPr/>
        <w:tc>
          <w:tcPr>
            <w:tcW w:w="4530" w:type="dxa"/>
            <w:tcBorders/>
          </w:tcPr>
          <w:p>
            <w:pPr>
              <w:pStyle w:val="Normal"/>
              <w:widowControl/>
              <w:spacing w:before="0" w:after="149"/>
              <w:jc w:val="center"/>
              <w:rPr>
                <w:rFonts w:ascii="Arial" w:hAnsi="Arial" w:cs="Arial"/>
                <w:sz w:val="22"/>
              </w:rPr>
            </w:pPr>
            <w:r>
              <w:rPr>
                <w:rFonts w:cs="Arial" w:ascii="Arial" w:hAnsi="Arial"/>
                <w:kern w:val="0"/>
                <w:sz w:val="22"/>
                <w:szCs w:val="22"/>
                <w:lang w:val="fr-FR" w:eastAsia="en-US" w:bidi="ar-SA"/>
              </w:rPr>
              <w:t>AD 865</w:t>
            </w:r>
          </w:p>
        </w:tc>
        <w:tc>
          <w:tcPr>
            <w:tcW w:w="4529" w:type="dxa"/>
            <w:tcBorders/>
          </w:tcPr>
          <w:p>
            <w:pPr>
              <w:pStyle w:val="Normal"/>
              <w:widowControl/>
              <w:spacing w:before="0" w:after="149"/>
              <w:jc w:val="left"/>
              <w:rPr>
                <w:rFonts w:ascii="Arial" w:hAnsi="Arial" w:cs="Arial"/>
                <w:sz w:val="22"/>
              </w:rPr>
            </w:pPr>
            <w:r>
              <w:rPr>
                <w:rFonts w:cs="Arial" w:ascii="Arial" w:hAnsi="Arial"/>
                <w:kern w:val="0"/>
                <w:sz w:val="22"/>
                <w:szCs w:val="22"/>
                <w:lang w:val="fr-FR" w:eastAsia="en-US" w:bidi="ar-SA"/>
              </w:rPr>
              <w:t xml:space="preserve">                      </w:t>
            </w:r>
            <w:r>
              <w:rPr>
                <w:rFonts w:cs="Arial" w:ascii="Arial" w:hAnsi="Arial"/>
                <w:kern w:val="0"/>
                <w:sz w:val="22"/>
                <w:szCs w:val="22"/>
                <w:lang w:val="fr-FR" w:eastAsia="en-US" w:bidi="ar-SA"/>
              </w:rPr>
              <w:t>1 619</w:t>
            </w:r>
          </w:p>
        </w:tc>
      </w:tr>
      <w:tr>
        <w:trPr/>
        <w:tc>
          <w:tcPr>
            <w:tcW w:w="4530" w:type="dxa"/>
            <w:tcBorders/>
          </w:tcPr>
          <w:p>
            <w:pPr>
              <w:pStyle w:val="Normal"/>
              <w:widowControl/>
              <w:spacing w:before="0" w:after="149"/>
              <w:jc w:val="center"/>
              <w:rPr>
                <w:rFonts w:ascii="Arial" w:hAnsi="Arial" w:cs="Arial"/>
                <w:sz w:val="22"/>
              </w:rPr>
            </w:pPr>
            <w:r>
              <w:rPr>
                <w:rFonts w:cs="Arial" w:ascii="Arial" w:hAnsi="Arial"/>
                <w:kern w:val="0"/>
                <w:sz w:val="22"/>
                <w:szCs w:val="22"/>
                <w:lang w:val="fr-FR" w:eastAsia="en-US" w:bidi="ar-SA"/>
              </w:rPr>
              <w:t>AD 866 </w:t>
            </w:r>
          </w:p>
        </w:tc>
        <w:tc>
          <w:tcPr>
            <w:tcW w:w="4529" w:type="dxa"/>
            <w:tcBorders/>
          </w:tcPr>
          <w:p>
            <w:pPr>
              <w:pStyle w:val="Normal"/>
              <w:widowControl/>
              <w:spacing w:before="0" w:after="149"/>
              <w:jc w:val="left"/>
              <w:rPr>
                <w:rFonts w:ascii="Arial" w:hAnsi="Arial" w:cs="Arial"/>
                <w:sz w:val="22"/>
              </w:rPr>
            </w:pPr>
            <w:r>
              <w:rPr>
                <w:rFonts w:cs="Arial" w:ascii="Arial" w:hAnsi="Arial"/>
                <w:kern w:val="0"/>
                <w:sz w:val="22"/>
                <w:szCs w:val="22"/>
                <w:lang w:val="fr-FR" w:eastAsia="en-US" w:bidi="ar-SA"/>
              </w:rPr>
              <w:t xml:space="preserve">                         </w:t>
            </w:r>
            <w:r>
              <w:rPr>
                <w:rFonts w:cs="Arial" w:ascii="Arial" w:hAnsi="Arial"/>
                <w:kern w:val="0"/>
                <w:sz w:val="22"/>
                <w:szCs w:val="22"/>
                <w:lang w:val="fr-FR" w:eastAsia="en-US" w:bidi="ar-SA"/>
              </w:rPr>
              <w:t>426</w:t>
            </w:r>
          </w:p>
        </w:tc>
      </w:tr>
      <w:tr>
        <w:trPr/>
        <w:tc>
          <w:tcPr>
            <w:tcW w:w="4530" w:type="dxa"/>
            <w:tcBorders/>
          </w:tcPr>
          <w:p>
            <w:pPr>
              <w:pStyle w:val="Normal"/>
              <w:widowControl/>
              <w:spacing w:before="0" w:after="149"/>
              <w:jc w:val="center"/>
              <w:rPr>
                <w:rFonts w:ascii="Arial" w:hAnsi="Arial" w:cs="Arial"/>
                <w:sz w:val="22"/>
              </w:rPr>
            </w:pPr>
            <w:r>
              <w:rPr>
                <w:rFonts w:cs="Arial" w:ascii="Arial" w:hAnsi="Arial"/>
                <w:kern w:val="0"/>
                <w:sz w:val="22"/>
                <w:szCs w:val="22"/>
                <w:lang w:val="fr-FR" w:eastAsia="en-US" w:bidi="ar-SA"/>
              </w:rPr>
              <w:t>AD 867 </w:t>
            </w:r>
          </w:p>
        </w:tc>
        <w:tc>
          <w:tcPr>
            <w:tcW w:w="4529" w:type="dxa"/>
            <w:tcBorders/>
          </w:tcPr>
          <w:p>
            <w:pPr>
              <w:pStyle w:val="Normal"/>
              <w:widowControl/>
              <w:spacing w:before="0" w:after="149"/>
              <w:jc w:val="left"/>
              <w:rPr>
                <w:rFonts w:ascii="Arial" w:hAnsi="Arial" w:cs="Arial"/>
                <w:sz w:val="22"/>
              </w:rPr>
            </w:pPr>
            <w:r>
              <w:rPr>
                <w:rFonts w:cs="Arial" w:ascii="Arial" w:hAnsi="Arial"/>
                <w:kern w:val="0"/>
                <w:sz w:val="22"/>
                <w:szCs w:val="22"/>
                <w:lang w:val="fr-FR" w:eastAsia="en-US" w:bidi="ar-SA"/>
              </w:rPr>
              <w:t xml:space="preserve">                           </w:t>
            </w:r>
            <w:r>
              <w:rPr>
                <w:rFonts w:cs="Arial" w:ascii="Arial" w:hAnsi="Arial"/>
                <w:kern w:val="0"/>
                <w:sz w:val="22"/>
                <w:szCs w:val="22"/>
                <w:lang w:val="fr-FR" w:eastAsia="en-US" w:bidi="ar-SA"/>
              </w:rPr>
              <w:t>26</w:t>
            </w:r>
          </w:p>
        </w:tc>
      </w:tr>
      <w:tr>
        <w:trPr/>
        <w:tc>
          <w:tcPr>
            <w:tcW w:w="4530" w:type="dxa"/>
            <w:tcBorders/>
          </w:tcPr>
          <w:p>
            <w:pPr>
              <w:pStyle w:val="Normal"/>
              <w:widowControl/>
              <w:spacing w:before="0" w:after="149"/>
              <w:jc w:val="center"/>
              <w:rPr>
                <w:rFonts w:ascii="Arial" w:hAnsi="Arial" w:cs="Arial"/>
                <w:sz w:val="22"/>
              </w:rPr>
            </w:pPr>
            <w:r>
              <w:rPr>
                <w:rFonts w:cs="Arial" w:ascii="Arial" w:hAnsi="Arial"/>
                <w:kern w:val="0"/>
                <w:sz w:val="22"/>
                <w:szCs w:val="22"/>
                <w:lang w:val="fr-FR" w:eastAsia="en-US" w:bidi="ar-SA"/>
              </w:rPr>
              <w:t>AD 869 </w:t>
            </w:r>
          </w:p>
        </w:tc>
        <w:tc>
          <w:tcPr>
            <w:tcW w:w="4529" w:type="dxa"/>
            <w:tcBorders/>
          </w:tcPr>
          <w:p>
            <w:pPr>
              <w:pStyle w:val="Normal"/>
              <w:widowControl/>
              <w:spacing w:before="0" w:after="149"/>
              <w:jc w:val="left"/>
              <w:rPr>
                <w:rFonts w:ascii="Arial" w:hAnsi="Arial" w:cs="Arial"/>
                <w:sz w:val="22"/>
              </w:rPr>
            </w:pPr>
            <w:r>
              <w:rPr>
                <w:rFonts w:cs="Arial" w:ascii="Arial" w:hAnsi="Arial"/>
                <w:kern w:val="0"/>
                <w:sz w:val="22"/>
                <w:szCs w:val="22"/>
                <w:lang w:val="fr-FR" w:eastAsia="en-US" w:bidi="ar-SA"/>
              </w:rPr>
              <w:t xml:space="preserve">                           </w:t>
            </w:r>
            <w:r>
              <w:rPr>
                <w:rFonts w:cs="Arial" w:ascii="Arial" w:hAnsi="Arial"/>
                <w:kern w:val="0"/>
                <w:sz w:val="22"/>
                <w:szCs w:val="22"/>
                <w:lang w:val="fr-FR" w:eastAsia="en-US" w:bidi="ar-SA"/>
              </w:rPr>
              <w:t>32</w:t>
            </w:r>
          </w:p>
        </w:tc>
      </w:tr>
      <w:tr>
        <w:trPr/>
        <w:tc>
          <w:tcPr>
            <w:tcW w:w="4530" w:type="dxa"/>
            <w:tcBorders/>
          </w:tcPr>
          <w:p>
            <w:pPr>
              <w:pStyle w:val="Normal"/>
              <w:widowControl/>
              <w:spacing w:before="0" w:after="149"/>
              <w:jc w:val="center"/>
              <w:rPr>
                <w:rFonts w:ascii="Arial" w:hAnsi="Arial" w:cs="Arial"/>
                <w:sz w:val="22"/>
              </w:rPr>
            </w:pPr>
            <w:r>
              <w:rPr>
                <w:rFonts w:cs="Arial" w:ascii="Arial" w:hAnsi="Arial"/>
                <w:kern w:val="0"/>
                <w:sz w:val="22"/>
                <w:szCs w:val="22"/>
                <w:lang w:val="fr-FR" w:eastAsia="en-US" w:bidi="ar-SA"/>
              </w:rPr>
              <w:t>AD 885 </w:t>
            </w:r>
          </w:p>
        </w:tc>
        <w:tc>
          <w:tcPr>
            <w:tcW w:w="4529" w:type="dxa"/>
            <w:tcBorders/>
          </w:tcPr>
          <w:p>
            <w:pPr>
              <w:pStyle w:val="Normal"/>
              <w:widowControl/>
              <w:spacing w:before="0" w:after="149"/>
              <w:jc w:val="left"/>
              <w:rPr>
                <w:rFonts w:ascii="Arial" w:hAnsi="Arial" w:cs="Arial"/>
                <w:sz w:val="22"/>
              </w:rPr>
            </w:pPr>
            <w:r>
              <w:rPr>
                <w:rFonts w:cs="Arial" w:ascii="Arial" w:hAnsi="Arial"/>
                <w:kern w:val="0"/>
                <w:sz w:val="22"/>
                <w:szCs w:val="22"/>
                <w:lang w:val="fr-FR" w:eastAsia="en-US" w:bidi="ar-SA"/>
              </w:rPr>
              <w:t xml:space="preserve">                      </w:t>
            </w:r>
            <w:r>
              <w:rPr>
                <w:rFonts w:cs="Arial" w:ascii="Arial" w:hAnsi="Arial"/>
                <w:kern w:val="0"/>
                <w:sz w:val="22"/>
                <w:szCs w:val="22"/>
                <w:lang w:val="fr-FR" w:eastAsia="en-US" w:bidi="ar-SA"/>
              </w:rPr>
              <w:t xml:space="preserve">4 926 </w:t>
            </w:r>
          </w:p>
        </w:tc>
      </w:tr>
      <w:tr>
        <w:trPr/>
        <w:tc>
          <w:tcPr>
            <w:tcW w:w="4530" w:type="dxa"/>
            <w:tcBorders/>
          </w:tcPr>
          <w:p>
            <w:pPr>
              <w:pStyle w:val="Normal"/>
              <w:widowControl/>
              <w:spacing w:before="0" w:after="149"/>
              <w:jc w:val="center"/>
              <w:rPr>
                <w:rFonts w:ascii="Arial" w:hAnsi="Arial" w:cs="Arial"/>
                <w:sz w:val="22"/>
              </w:rPr>
            </w:pPr>
            <w:r>
              <w:rPr>
                <w:rFonts w:cs="Arial" w:ascii="Arial" w:hAnsi="Arial"/>
                <w:kern w:val="0"/>
                <w:sz w:val="22"/>
                <w:szCs w:val="22"/>
                <w:lang w:val="fr-FR" w:eastAsia="en-US" w:bidi="ar-SA"/>
              </w:rPr>
              <w:t>AD 886 </w:t>
            </w:r>
          </w:p>
        </w:tc>
        <w:tc>
          <w:tcPr>
            <w:tcW w:w="4529" w:type="dxa"/>
            <w:tcBorders/>
          </w:tcPr>
          <w:p>
            <w:pPr>
              <w:pStyle w:val="Normal"/>
              <w:widowControl/>
              <w:spacing w:before="0" w:after="149"/>
              <w:ind w:left="0" w:hanging="0"/>
              <w:jc w:val="left"/>
              <w:rPr>
                <w:rFonts w:ascii="Arial" w:hAnsi="Arial" w:cs="Arial"/>
                <w:sz w:val="22"/>
              </w:rPr>
            </w:pPr>
            <w:r>
              <w:rPr>
                <w:rFonts w:cs="Arial" w:ascii="Arial" w:hAnsi="Arial"/>
                <w:kern w:val="0"/>
                <w:sz w:val="22"/>
                <w:szCs w:val="22"/>
                <w:lang w:val="fr-FR" w:eastAsia="en-US" w:bidi="ar-SA"/>
              </w:rPr>
              <w:t xml:space="preserve">                         </w:t>
            </w:r>
            <w:r>
              <w:rPr>
                <w:rFonts w:cs="Arial" w:ascii="Arial" w:hAnsi="Arial"/>
                <w:kern w:val="0"/>
                <w:sz w:val="22"/>
                <w:szCs w:val="22"/>
                <w:lang w:val="fr-FR" w:eastAsia="en-US" w:bidi="ar-SA"/>
              </w:rPr>
              <w:t>757</w:t>
            </w:r>
          </w:p>
        </w:tc>
      </w:tr>
      <w:tr>
        <w:trPr/>
        <w:tc>
          <w:tcPr>
            <w:tcW w:w="4530" w:type="dxa"/>
            <w:tcBorders/>
          </w:tcPr>
          <w:p>
            <w:pPr>
              <w:pStyle w:val="Normal"/>
              <w:widowControl/>
              <w:spacing w:before="0" w:after="149"/>
              <w:jc w:val="center"/>
              <w:rPr>
                <w:rFonts w:ascii="Arial" w:hAnsi="Arial" w:cs="Arial"/>
                <w:sz w:val="22"/>
              </w:rPr>
            </w:pPr>
            <w:r>
              <w:rPr>
                <w:rFonts w:cs="Arial" w:ascii="Arial" w:hAnsi="Arial"/>
                <w:kern w:val="0"/>
                <w:sz w:val="22"/>
                <w:szCs w:val="22"/>
                <w:lang w:val="fr-FR" w:eastAsia="en-US" w:bidi="ar-SA"/>
              </w:rPr>
              <w:t>AD 888 (une partie seulement)</w:t>
            </w:r>
          </w:p>
        </w:tc>
        <w:tc>
          <w:tcPr>
            <w:tcW w:w="4529" w:type="dxa"/>
            <w:tcBorders/>
          </w:tcPr>
          <w:p>
            <w:pPr>
              <w:pStyle w:val="Normal"/>
              <w:widowControl/>
              <w:spacing w:before="0" w:after="149"/>
              <w:jc w:val="left"/>
              <w:rPr>
                <w:rFonts w:ascii="Arial" w:hAnsi="Arial" w:cs="Arial"/>
                <w:sz w:val="22"/>
              </w:rPr>
            </w:pPr>
            <w:r>
              <w:rPr>
                <w:rFonts w:cs="Arial" w:ascii="Arial" w:hAnsi="Arial"/>
                <w:kern w:val="0"/>
                <w:sz w:val="22"/>
                <w:szCs w:val="22"/>
                <w:lang w:val="fr-FR" w:eastAsia="en-US" w:bidi="ar-SA"/>
              </w:rPr>
              <w:t xml:space="preserve">                        </w:t>
            </w:r>
            <w:r>
              <w:rPr>
                <w:rFonts w:cs="Arial" w:ascii="Arial" w:hAnsi="Arial"/>
                <w:kern w:val="0"/>
                <w:sz w:val="22"/>
                <w:szCs w:val="22"/>
                <w:lang w:val="fr-FR" w:eastAsia="en-US" w:bidi="ar-SA"/>
              </w:rPr>
              <w:t xml:space="preserve">740  </w:t>
            </w:r>
          </w:p>
        </w:tc>
      </w:tr>
      <w:tr>
        <w:trPr/>
        <w:tc>
          <w:tcPr>
            <w:tcW w:w="4530" w:type="dxa"/>
            <w:tcBorders/>
          </w:tcPr>
          <w:p>
            <w:pPr>
              <w:pStyle w:val="Normal"/>
              <w:widowControl/>
              <w:spacing w:before="0" w:after="149"/>
              <w:jc w:val="center"/>
              <w:rPr>
                <w:rFonts w:ascii="Arial" w:hAnsi="Arial" w:cs="Arial"/>
                <w:sz w:val="22"/>
              </w:rPr>
            </w:pPr>
            <w:r>
              <w:rPr>
                <w:rFonts w:cs="Arial" w:ascii="Arial" w:hAnsi="Arial"/>
                <w:kern w:val="0"/>
                <w:sz w:val="22"/>
                <w:szCs w:val="22"/>
                <w:lang w:val="fr-FR" w:eastAsia="en-US" w:bidi="ar-SA"/>
              </w:rPr>
            </w:r>
          </w:p>
        </w:tc>
        <w:tc>
          <w:tcPr>
            <w:tcW w:w="4529" w:type="dxa"/>
            <w:tcBorders/>
          </w:tcPr>
          <w:p>
            <w:pPr>
              <w:pStyle w:val="Normal"/>
              <w:widowControl/>
              <w:spacing w:before="0" w:after="149"/>
              <w:jc w:val="left"/>
              <w:rPr>
                <w:rFonts w:ascii="Arial" w:hAnsi="Arial" w:cs="Arial"/>
                <w:sz w:val="22"/>
              </w:rPr>
            </w:pPr>
            <w:r>
              <w:rPr>
                <w:rFonts w:cs="Arial" w:ascii="Arial" w:hAnsi="Arial"/>
                <w:kern w:val="0"/>
                <w:sz w:val="22"/>
                <w:szCs w:val="22"/>
                <w:lang w:val="fr-FR" w:eastAsia="en-US" w:bidi="ar-SA"/>
              </w:rPr>
              <w:t xml:space="preserve">     </w:t>
            </w:r>
            <w:r>
              <w:rPr>
                <w:rFonts w:cs="Arial" w:ascii="Arial" w:hAnsi="Arial"/>
                <w:kern w:val="0"/>
                <w:sz w:val="22"/>
                <w:szCs w:val="22"/>
                <w:lang w:val="fr-FR" w:eastAsia="en-US" w:bidi="ar-SA"/>
              </w:rPr>
              <w:t xml:space="preserve">soit environ 13 280 </w:t>
            </w:r>
          </w:p>
        </w:tc>
      </w:tr>
    </w:tbl>
    <w:p>
      <w:pPr>
        <w:pStyle w:val="Normal"/>
        <w:ind w:left="0" w:hanging="0"/>
        <w:rPr>
          <w:rFonts w:ascii="Arial" w:hAnsi="Arial" w:cs="Arial"/>
          <w:sz w:val="22"/>
        </w:rPr>
      </w:pPr>
      <w:r>
        <w:rPr>
          <w:rFonts w:cs="Arial" w:ascii="Arial" w:hAnsi="Arial"/>
          <w:sz w:val="22"/>
        </w:rPr>
      </w:r>
    </w:p>
    <w:p>
      <w:pPr>
        <w:pStyle w:val="Normal"/>
        <w:rPr>
          <w:rFonts w:ascii="Arial" w:hAnsi="Arial" w:cs="Arial"/>
          <w:sz w:val="22"/>
        </w:rPr>
      </w:pPr>
      <w:r>
        <w:rPr>
          <w:rFonts w:cs="Arial" w:ascii="Arial" w:hAnsi="Arial"/>
          <w:sz w:val="22"/>
        </w:rPr>
        <w:t xml:space="preserve">La Commune est d’ores et déjà propriétaire de 4 parcelles à l’intérieur du périmètre de la DUP, à savoir les parcelles AD 1, AD 355, AD 825 et AD 826 d’une contenance totale d’environ 4 750 m² sur les 13 280 m².  </w:t>
      </w:r>
    </w:p>
    <w:p>
      <w:pPr>
        <w:pStyle w:val="Normal"/>
        <w:rPr>
          <w:rFonts w:ascii="Arial" w:hAnsi="Arial" w:cs="Arial"/>
          <w:sz w:val="22"/>
        </w:rPr>
      </w:pPr>
      <w:r>
        <w:rPr>
          <w:rFonts w:cs="Arial" w:ascii="Arial" w:hAnsi="Arial"/>
          <w:sz w:val="22"/>
        </w:rPr>
        <w:t>Par ailleurs, la commune a déjà obtenu l’accord de 57 copropriétaires représentant              93 137/100 000èmes des droits indivis portant sur les parcelles suivantes : AD 865, AD 866, AD 867, AD 869, AD 885, AD 886 et AD 888, pour partie (740 m2 environ). A noter qu’une nouvelle acquisition survenue lors de l’enquête attend son enregistrement définitif et que seuls les ayants droits des 3 propriétaires n’ayant pas signé d’accord amiable restent concernés par la procédure.</w:t>
      </w:r>
    </w:p>
    <w:p>
      <w:pPr>
        <w:pStyle w:val="Normal"/>
        <w:ind w:left="21" w:hanging="0"/>
        <w:rPr>
          <w:rFonts w:ascii="Arial" w:hAnsi="Arial" w:cs="Arial"/>
          <w:sz w:val="22"/>
        </w:rPr>
      </w:pPr>
      <w:r>
        <w:rPr>
          <w:rFonts w:cs="Arial" w:ascii="Arial" w:hAnsi="Arial"/>
          <w:sz w:val="22"/>
        </w:rPr>
        <w:t>La SARL Assistance Foncière, qui a assisté la commune de Gonesse, a communiqué le relevé des accords obtenus à ce jour qui est joint en annexe de ce rapport avec le bilan des tantièmes (ventes signées et en cours, et expropriations nécessaires). A noter que les chiffres diffèrent légèrement de ceux présentés dans les dossiers DUP et parcellaire car des accords ont été obtenus entre temps.</w:t>
      </w:r>
    </w:p>
    <w:p>
      <w:pPr>
        <w:pStyle w:val="Normal"/>
        <w:ind w:left="0" w:hanging="0"/>
        <w:rPr>
          <w:rFonts w:ascii="Arial" w:hAnsi="Arial" w:cs="Arial"/>
          <w:sz w:val="22"/>
        </w:rPr>
      </w:pPr>
      <w:r>
        <w:rPr>
          <w:rFonts w:cs="Arial" w:ascii="Arial" w:hAnsi="Arial"/>
          <w:sz w:val="22"/>
        </w:rPr>
        <w:t>Afin de mettre fin à tout blocage lié au statut d’indivision forcé et de permettre la réalisation d’un projet porté depuis 2017, il est apparu nécessaire à la commune de recourir à la procédure d’expropriation pour cause d’utilité publique.</w:t>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ListParagraph"/>
        <w:numPr>
          <w:ilvl w:val="1"/>
          <w:numId w:val="1"/>
        </w:numPr>
        <w:spacing w:lineRule="auto" w:line="247" w:before="0" w:after="5"/>
        <w:contextualSpacing/>
        <w:jc w:val="both"/>
        <w:rPr>
          <w:rFonts w:ascii="Arial" w:hAnsi="Arial" w:eastAsia="Times New Roman" w:cs="Arial"/>
          <w:b/>
          <w:b/>
          <w:bCs/>
          <w:sz w:val="22"/>
        </w:rPr>
      </w:pPr>
      <w:r>
        <w:rPr>
          <w:rFonts w:eastAsia="Times New Roman" w:cs="Arial" w:ascii="Arial" w:hAnsi="Arial"/>
          <w:b/>
          <w:bCs/>
          <w:sz w:val="22"/>
        </w:rPr>
        <w:t xml:space="preserve">Liste de l’ensemble des pièces présentes dans le dossier. </w:t>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t xml:space="preserve"> </w:t>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t>Pièces administratives</w:t>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ListParagraph"/>
        <w:numPr>
          <w:ilvl w:val="0"/>
          <w:numId w:val="8"/>
        </w:numPr>
        <w:spacing w:lineRule="auto" w:line="259" w:before="0" w:after="0"/>
        <w:contextualSpacing/>
        <w:rPr>
          <w:rFonts w:ascii="Arial" w:hAnsi="Arial" w:eastAsia="Times New Roman" w:cs="Arial"/>
          <w:sz w:val="22"/>
        </w:rPr>
      </w:pPr>
      <w:r>
        <w:rPr>
          <w:rFonts w:eastAsia="Times New Roman" w:cs="Arial" w:ascii="Arial" w:hAnsi="Arial"/>
          <w:sz w:val="22"/>
        </w:rPr>
        <w:t>Arrêté d’ouverture d’enquête publique DUP et parcellaire du 10 janvier 2024.</w:t>
      </w:r>
    </w:p>
    <w:p>
      <w:pPr>
        <w:pStyle w:val="ListParagraph"/>
        <w:numPr>
          <w:ilvl w:val="0"/>
          <w:numId w:val="8"/>
        </w:numPr>
        <w:spacing w:lineRule="auto" w:line="259" w:before="0" w:after="0"/>
        <w:contextualSpacing/>
        <w:rPr>
          <w:rFonts w:ascii="Arial" w:hAnsi="Arial" w:eastAsia="Times New Roman" w:cs="Arial"/>
          <w:sz w:val="22"/>
        </w:rPr>
      </w:pPr>
      <w:r>
        <w:rPr>
          <w:rFonts w:eastAsia="Times New Roman" w:cs="Arial" w:ascii="Arial" w:hAnsi="Arial"/>
          <w:sz w:val="22"/>
        </w:rPr>
        <w:t>Avis d’enquête publique</w:t>
      </w:r>
    </w:p>
    <w:p>
      <w:pPr>
        <w:pStyle w:val="ListParagraph"/>
        <w:spacing w:lineRule="auto" w:line="259" w:before="0" w:after="0"/>
        <w:ind w:left="391" w:hanging="0"/>
        <w:contextualSpacing/>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t> </w:t>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t> </w:t>
      </w:r>
      <w:r>
        <w:rPr>
          <w:rFonts w:eastAsia="Times New Roman" w:cs="Arial" w:ascii="Arial" w:hAnsi="Arial"/>
          <w:b/>
          <w:bCs/>
          <w:sz w:val="22"/>
        </w:rPr>
        <w:t>Dossier d’Enquête de Déclaration d’Utilité Publique (DUP)</w:t>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r>
    </w:p>
    <w:p>
      <w:pPr>
        <w:pStyle w:val="ListParagraph"/>
        <w:numPr>
          <w:ilvl w:val="0"/>
          <w:numId w:val="6"/>
        </w:numPr>
        <w:spacing w:lineRule="auto" w:line="259" w:before="0" w:after="0"/>
        <w:contextualSpacing/>
        <w:rPr>
          <w:rFonts w:ascii="Arial" w:hAnsi="Arial" w:eastAsia="Times New Roman" w:cs="Arial"/>
          <w:sz w:val="22"/>
        </w:rPr>
      </w:pPr>
      <w:r>
        <w:rPr>
          <w:rFonts w:eastAsia="Times New Roman" w:cs="Arial" w:ascii="Arial" w:hAnsi="Arial"/>
          <w:sz w:val="22"/>
        </w:rPr>
        <w:t xml:space="preserve"> </w:t>
      </w:r>
      <w:r>
        <w:rPr>
          <w:rFonts w:eastAsia="Times New Roman" w:cs="Arial" w:ascii="Arial" w:hAnsi="Arial"/>
          <w:sz w:val="22"/>
        </w:rPr>
        <w:t>Objet de l’enquête  (p 4 à 8)</w:t>
      </w:r>
    </w:p>
    <w:p>
      <w:pPr>
        <w:pStyle w:val="ListParagraph"/>
        <w:numPr>
          <w:ilvl w:val="1"/>
          <w:numId w:val="6"/>
        </w:numPr>
        <w:spacing w:lineRule="auto" w:line="259" w:before="0" w:after="0"/>
        <w:contextualSpacing/>
        <w:rPr>
          <w:rFonts w:ascii="Arial" w:hAnsi="Arial" w:eastAsia="Times New Roman" w:cs="Arial"/>
          <w:sz w:val="22"/>
        </w:rPr>
      </w:pPr>
      <w:r>
        <w:rPr>
          <w:rFonts w:eastAsia="Times New Roman" w:cs="Arial" w:ascii="Arial" w:hAnsi="Arial"/>
          <w:sz w:val="22"/>
        </w:rPr>
        <w:t>Objet du dossier</w:t>
      </w:r>
    </w:p>
    <w:p>
      <w:pPr>
        <w:pStyle w:val="ListParagraph"/>
        <w:numPr>
          <w:ilvl w:val="1"/>
          <w:numId w:val="6"/>
        </w:numPr>
        <w:spacing w:lineRule="auto" w:line="259" w:before="0" w:after="0"/>
        <w:contextualSpacing/>
        <w:rPr>
          <w:rFonts w:ascii="Arial" w:hAnsi="Arial" w:eastAsia="Times New Roman" w:cs="Arial"/>
          <w:sz w:val="22"/>
        </w:rPr>
      </w:pPr>
      <w:r>
        <w:rPr>
          <w:rFonts w:eastAsia="Times New Roman" w:cs="Arial" w:ascii="Arial" w:hAnsi="Arial"/>
          <w:sz w:val="22"/>
        </w:rPr>
        <w:t xml:space="preserve">Cadre juridique et règlementaire </w:t>
      </w:r>
    </w:p>
    <w:p>
      <w:pPr>
        <w:pStyle w:val="ListParagraph"/>
        <w:numPr>
          <w:ilvl w:val="1"/>
          <w:numId w:val="6"/>
        </w:numPr>
        <w:spacing w:lineRule="auto" w:line="259" w:before="0" w:after="0"/>
        <w:contextualSpacing/>
        <w:rPr>
          <w:rFonts w:ascii="Arial" w:hAnsi="Arial" w:eastAsia="Times New Roman" w:cs="Arial"/>
          <w:sz w:val="22"/>
        </w:rPr>
      </w:pPr>
      <w:r>
        <w:rPr>
          <w:rFonts w:eastAsia="Times New Roman" w:cs="Arial" w:ascii="Arial" w:hAnsi="Arial"/>
          <w:sz w:val="22"/>
        </w:rPr>
        <w:t>Délibération initiant la procédure (N° 20/2021- Mairie de Gonesse)</w:t>
      </w:r>
    </w:p>
    <w:p>
      <w:pPr>
        <w:pStyle w:val="ListParagraph"/>
        <w:numPr>
          <w:ilvl w:val="1"/>
          <w:numId w:val="6"/>
        </w:numPr>
        <w:spacing w:lineRule="auto" w:line="259" w:before="0" w:after="0"/>
        <w:contextualSpacing/>
        <w:rPr>
          <w:rFonts w:ascii="Arial" w:hAnsi="Arial" w:eastAsia="Times New Roman" w:cs="Arial"/>
          <w:sz w:val="22"/>
        </w:rPr>
      </w:pPr>
      <w:r>
        <w:rPr>
          <w:rFonts w:eastAsia="Times New Roman" w:cs="Arial" w:ascii="Arial" w:hAnsi="Arial"/>
          <w:sz w:val="22"/>
        </w:rPr>
        <w:t>Pièces du dossier</w:t>
      </w:r>
    </w:p>
    <w:p>
      <w:pPr>
        <w:pStyle w:val="ListParagraph"/>
        <w:numPr>
          <w:ilvl w:val="0"/>
          <w:numId w:val="6"/>
        </w:numPr>
        <w:spacing w:lineRule="auto" w:line="259" w:before="0" w:after="0"/>
        <w:contextualSpacing/>
        <w:rPr>
          <w:rFonts w:ascii="Arial" w:hAnsi="Arial" w:eastAsia="Times New Roman" w:cs="Arial"/>
          <w:sz w:val="22"/>
        </w:rPr>
      </w:pPr>
      <w:r>
        <w:rPr>
          <w:rFonts w:eastAsia="Times New Roman" w:cs="Arial" w:ascii="Arial" w:hAnsi="Arial"/>
          <w:sz w:val="22"/>
        </w:rPr>
        <w:t>Notice explicative (p 8 à 19)</w:t>
      </w:r>
    </w:p>
    <w:p>
      <w:pPr>
        <w:pStyle w:val="ListParagraph"/>
        <w:numPr>
          <w:ilvl w:val="1"/>
          <w:numId w:val="6"/>
        </w:numPr>
        <w:spacing w:lineRule="auto" w:line="259" w:before="0" w:after="0"/>
        <w:contextualSpacing/>
        <w:rPr>
          <w:rFonts w:ascii="Arial" w:hAnsi="Arial" w:eastAsia="Times New Roman" w:cs="Arial"/>
          <w:sz w:val="22"/>
        </w:rPr>
      </w:pPr>
      <w:r>
        <w:rPr>
          <w:rFonts w:eastAsia="Times New Roman" w:cs="Arial" w:ascii="Arial" w:hAnsi="Arial"/>
          <w:sz w:val="22"/>
        </w:rPr>
        <w:t>Objet et contexte</w:t>
      </w:r>
    </w:p>
    <w:p>
      <w:pPr>
        <w:pStyle w:val="ListParagraph"/>
        <w:numPr>
          <w:ilvl w:val="1"/>
          <w:numId w:val="6"/>
        </w:numPr>
        <w:spacing w:lineRule="auto" w:line="259" w:before="0" w:after="0"/>
        <w:contextualSpacing/>
        <w:rPr>
          <w:rFonts w:ascii="Arial" w:hAnsi="Arial" w:eastAsia="Times New Roman" w:cs="Arial"/>
          <w:sz w:val="22"/>
        </w:rPr>
      </w:pPr>
      <w:r>
        <w:rPr>
          <w:rFonts w:eastAsia="Times New Roman" w:cs="Arial" w:ascii="Arial" w:hAnsi="Arial"/>
          <w:sz w:val="22"/>
        </w:rPr>
        <w:t>Présentation de la ville de Gonesse et du quartier des Marroniers</w:t>
      </w:r>
    </w:p>
    <w:p>
      <w:pPr>
        <w:pStyle w:val="ListParagraph"/>
        <w:numPr>
          <w:ilvl w:val="1"/>
          <w:numId w:val="6"/>
        </w:numPr>
        <w:spacing w:lineRule="auto" w:line="259" w:before="0" w:after="0"/>
        <w:contextualSpacing/>
        <w:rPr>
          <w:rFonts w:ascii="Arial" w:hAnsi="Arial" w:eastAsia="Times New Roman" w:cs="Arial"/>
          <w:sz w:val="22"/>
        </w:rPr>
      </w:pPr>
      <w:r>
        <w:rPr>
          <w:rFonts w:eastAsia="Times New Roman" w:cs="Arial" w:ascii="Arial" w:hAnsi="Arial"/>
          <w:sz w:val="22"/>
        </w:rPr>
        <w:t>Présentation du site de l’opération et du contexte de l’indivision forcée</w:t>
      </w:r>
    </w:p>
    <w:p>
      <w:pPr>
        <w:pStyle w:val="ListParagraph"/>
        <w:numPr>
          <w:ilvl w:val="1"/>
          <w:numId w:val="6"/>
        </w:numPr>
        <w:spacing w:lineRule="auto" w:line="259" w:before="0" w:after="0"/>
        <w:contextualSpacing/>
        <w:rPr>
          <w:rFonts w:ascii="Arial" w:hAnsi="Arial" w:eastAsia="Times New Roman" w:cs="Arial"/>
          <w:sz w:val="22"/>
        </w:rPr>
      </w:pPr>
      <w:r>
        <w:rPr>
          <w:rFonts w:eastAsia="Times New Roman" w:cs="Arial" w:ascii="Arial" w:hAnsi="Arial"/>
          <w:sz w:val="22"/>
        </w:rPr>
        <w:t>Utilité publique de l’opération</w:t>
      </w:r>
    </w:p>
    <w:p>
      <w:pPr>
        <w:pStyle w:val="ListParagraph"/>
        <w:numPr>
          <w:ilvl w:val="0"/>
          <w:numId w:val="6"/>
        </w:numPr>
        <w:spacing w:lineRule="auto" w:line="259" w:before="0" w:after="0"/>
        <w:contextualSpacing/>
        <w:rPr>
          <w:rFonts w:ascii="Arial" w:hAnsi="Arial" w:eastAsia="Times New Roman" w:cs="Arial"/>
          <w:sz w:val="22"/>
        </w:rPr>
      </w:pPr>
      <w:r>
        <w:rPr>
          <w:rFonts w:eastAsia="Times New Roman" w:cs="Arial" w:ascii="Arial" w:hAnsi="Arial"/>
          <w:sz w:val="22"/>
        </w:rPr>
        <w:t>Plan de situation (p 20 et 21)</w:t>
      </w:r>
    </w:p>
    <w:p>
      <w:pPr>
        <w:pStyle w:val="ListParagraph"/>
        <w:numPr>
          <w:ilvl w:val="0"/>
          <w:numId w:val="6"/>
        </w:numPr>
        <w:spacing w:lineRule="auto" w:line="259" w:before="0" w:after="0"/>
        <w:contextualSpacing/>
        <w:rPr>
          <w:rFonts w:ascii="Arial" w:hAnsi="Arial" w:eastAsia="Times New Roman" w:cs="Arial"/>
          <w:sz w:val="22"/>
        </w:rPr>
      </w:pPr>
      <w:r>
        <w:rPr>
          <w:rFonts w:eastAsia="Times New Roman" w:cs="Arial" w:ascii="Arial" w:hAnsi="Arial"/>
          <w:sz w:val="22"/>
        </w:rPr>
        <w:t>Caractéristiques du projet de lotissement dit « des Jasmins » (p 22 à 25)</w:t>
      </w:r>
    </w:p>
    <w:p>
      <w:pPr>
        <w:pStyle w:val="ListParagraph"/>
        <w:numPr>
          <w:ilvl w:val="0"/>
          <w:numId w:val="6"/>
        </w:numPr>
        <w:spacing w:lineRule="auto" w:line="259" w:before="0" w:after="0"/>
        <w:contextualSpacing/>
        <w:rPr>
          <w:rFonts w:ascii="Arial" w:hAnsi="Arial" w:eastAsia="Times New Roman" w:cs="Arial"/>
          <w:sz w:val="22"/>
        </w:rPr>
      </w:pPr>
      <w:r>
        <w:rPr>
          <w:rFonts w:eastAsia="Times New Roman" w:cs="Arial" w:ascii="Arial" w:hAnsi="Arial"/>
          <w:sz w:val="22"/>
        </w:rPr>
        <w:t>Plans des travaux (p 26 à 29)</w:t>
      </w:r>
    </w:p>
    <w:p>
      <w:pPr>
        <w:pStyle w:val="ListParagraph"/>
        <w:numPr>
          <w:ilvl w:val="0"/>
          <w:numId w:val="6"/>
        </w:numPr>
        <w:spacing w:lineRule="auto" w:line="259" w:before="0" w:after="0"/>
        <w:contextualSpacing/>
        <w:rPr>
          <w:rFonts w:ascii="Arial" w:hAnsi="Arial" w:eastAsia="Times New Roman" w:cs="Arial"/>
          <w:sz w:val="22"/>
        </w:rPr>
      </w:pPr>
      <w:r>
        <w:rPr>
          <w:rFonts w:eastAsia="Times New Roman" w:cs="Arial" w:ascii="Arial" w:hAnsi="Arial"/>
          <w:sz w:val="22"/>
        </w:rPr>
        <w:t>Périmètre et parcellaire des immeubles à exproprier (p 30 à 35)</w:t>
      </w:r>
    </w:p>
    <w:p>
      <w:pPr>
        <w:pStyle w:val="ListParagraph"/>
        <w:numPr>
          <w:ilvl w:val="0"/>
          <w:numId w:val="6"/>
        </w:numPr>
        <w:spacing w:lineRule="auto" w:line="259" w:before="0" w:after="0"/>
        <w:contextualSpacing/>
        <w:rPr>
          <w:rFonts w:ascii="Arial" w:hAnsi="Arial" w:eastAsia="Times New Roman" w:cs="Arial"/>
          <w:sz w:val="22"/>
        </w:rPr>
      </w:pPr>
      <w:r>
        <w:rPr>
          <w:rFonts w:eastAsia="Times New Roman" w:cs="Arial" w:ascii="Arial" w:hAnsi="Arial"/>
          <w:sz w:val="22"/>
        </w:rPr>
        <w:t xml:space="preserve">Estimation sommaire des dépenses d’acquisition et d’aménagement, </w:t>
      </w:r>
    </w:p>
    <w:p>
      <w:pPr>
        <w:pStyle w:val="ListParagraph"/>
        <w:spacing w:lineRule="auto" w:line="259" w:before="0" w:after="0"/>
        <w:ind w:left="360" w:hanging="0"/>
        <w:contextualSpacing/>
        <w:rPr>
          <w:rFonts w:ascii="Arial" w:hAnsi="Arial" w:eastAsia="Times New Roman" w:cs="Arial"/>
          <w:sz w:val="22"/>
        </w:rPr>
      </w:pPr>
      <w:r>
        <w:rPr>
          <w:rFonts w:eastAsia="Times New Roman" w:cs="Arial" w:ascii="Arial" w:hAnsi="Arial"/>
          <w:sz w:val="22"/>
        </w:rPr>
        <w:t>et des recettes de cession de lots à  bâtir (p 36 à 39)</w:t>
      </w:r>
    </w:p>
    <w:p>
      <w:pPr>
        <w:pStyle w:val="ListParagraph"/>
        <w:numPr>
          <w:ilvl w:val="0"/>
          <w:numId w:val="6"/>
        </w:numPr>
        <w:spacing w:lineRule="auto" w:line="259" w:before="0" w:after="0"/>
        <w:contextualSpacing/>
        <w:rPr>
          <w:rFonts w:ascii="Arial" w:hAnsi="Arial" w:eastAsia="Times New Roman" w:cs="Arial"/>
          <w:sz w:val="22"/>
        </w:rPr>
      </w:pPr>
      <w:r>
        <w:rPr>
          <w:rFonts w:eastAsia="Times New Roman" w:cs="Arial" w:ascii="Arial" w:hAnsi="Arial"/>
          <w:sz w:val="22"/>
        </w:rPr>
        <w:t>Justification de l’absence d’étude d’impact (p 40)</w:t>
      </w:r>
    </w:p>
    <w:p>
      <w:pPr>
        <w:pStyle w:val="ListParagraph"/>
        <w:numPr>
          <w:ilvl w:val="0"/>
          <w:numId w:val="6"/>
        </w:numPr>
        <w:spacing w:lineRule="auto" w:line="259" w:before="0" w:after="0"/>
        <w:contextualSpacing/>
        <w:rPr>
          <w:rFonts w:ascii="Arial" w:hAnsi="Arial" w:eastAsia="Times New Roman" w:cs="Arial"/>
          <w:sz w:val="22"/>
        </w:rPr>
      </w:pPr>
      <w:r>
        <w:rPr>
          <w:rFonts w:eastAsia="Times New Roman" w:cs="Arial" w:ascii="Arial" w:hAnsi="Arial"/>
          <w:sz w:val="22"/>
        </w:rPr>
        <w:t>Autorisations nécessaires pour la réalisation du projet (p 41)</w:t>
      </w:r>
    </w:p>
    <w:p>
      <w:pPr>
        <w:pStyle w:val="ListParagraph"/>
        <w:numPr>
          <w:ilvl w:val="0"/>
          <w:numId w:val="6"/>
        </w:numPr>
        <w:spacing w:lineRule="auto" w:line="259" w:before="0" w:after="0"/>
        <w:contextualSpacing/>
        <w:rPr>
          <w:rFonts w:ascii="Arial" w:hAnsi="Arial" w:eastAsia="Times New Roman" w:cs="Arial"/>
          <w:sz w:val="22"/>
        </w:rPr>
      </w:pPr>
      <w:r>
        <w:rPr>
          <w:rFonts w:eastAsia="Times New Roman" w:cs="Arial" w:ascii="Arial" w:hAnsi="Arial"/>
          <w:sz w:val="22"/>
        </w:rPr>
        <w:t>Procédure de débat ou de concertation (p 42)</w:t>
      </w:r>
    </w:p>
    <w:p>
      <w:pPr>
        <w:pStyle w:val="ListParagraph"/>
        <w:spacing w:lineRule="auto" w:line="259" w:before="0" w:after="0"/>
        <w:ind w:left="1080" w:hanging="0"/>
        <w:contextualSpacing/>
        <w:rPr>
          <w:rFonts w:ascii="Arial" w:hAnsi="Arial" w:eastAsia="Times New Roman" w:cs="Arial"/>
          <w:sz w:val="22"/>
        </w:rPr>
      </w:pPr>
      <w:r>
        <w:rPr>
          <w:rFonts w:eastAsia="Times New Roman" w:cs="Arial" w:ascii="Arial" w:hAnsi="Arial"/>
          <w:sz w:val="22"/>
        </w:rPr>
      </w:r>
    </w:p>
    <w:p>
      <w:pPr>
        <w:pStyle w:val="Normal"/>
        <w:tabs>
          <w:tab w:val="clear" w:pos="708"/>
          <w:tab w:val="left" w:pos="720" w:leader="none"/>
        </w:tabs>
        <w:spacing w:lineRule="auto" w:line="259" w:before="0" w:after="0"/>
        <w:ind w:left="360" w:hanging="0"/>
        <w:rPr>
          <w:rFonts w:ascii="Arial" w:hAnsi="Arial" w:eastAsia="Times New Roman" w:cs="Arial"/>
          <w:sz w:val="22"/>
        </w:rPr>
      </w:pPr>
      <w:r>
        <w:rPr>
          <w:rFonts w:eastAsia="Times New Roman" w:cs="Arial" w:ascii="Arial" w:hAnsi="Arial"/>
          <w:sz w:val="22"/>
        </w:rPr>
        <w:t>Plan de communication de l’avis d’enquête (documents joints en annexe du rapport)</w:t>
      </w:r>
    </w:p>
    <w:p>
      <w:pPr>
        <w:pStyle w:val="Normal"/>
        <w:numPr>
          <w:ilvl w:val="1"/>
          <w:numId w:val="6"/>
        </w:numPr>
        <w:spacing w:lineRule="auto" w:line="259" w:before="0" w:after="0"/>
        <w:rPr>
          <w:rFonts w:ascii="Arial" w:hAnsi="Arial" w:eastAsia="Times New Roman" w:cs="Arial"/>
          <w:sz w:val="22"/>
        </w:rPr>
      </w:pPr>
      <w:r>
        <w:rPr>
          <w:rFonts w:eastAsia="Times New Roman" w:cs="Arial" w:ascii="Arial" w:hAnsi="Arial"/>
          <w:sz w:val="22"/>
        </w:rPr>
        <w:t>copie des publications dans « le Grand Parisien » et « la Gazette de Val d’Oise » du 17 janvier 2024,</w:t>
      </w:r>
    </w:p>
    <w:p>
      <w:pPr>
        <w:pStyle w:val="Normal"/>
        <w:numPr>
          <w:ilvl w:val="1"/>
          <w:numId w:val="6"/>
        </w:numPr>
        <w:spacing w:lineRule="auto" w:line="259" w:before="0" w:after="0"/>
        <w:rPr>
          <w:rFonts w:ascii="Arial" w:hAnsi="Arial" w:eastAsia="Times New Roman" w:cs="Arial"/>
          <w:sz w:val="22"/>
        </w:rPr>
      </w:pPr>
      <w:r>
        <w:rPr>
          <w:rFonts w:eastAsia="Times New Roman" w:cs="Arial" w:ascii="Arial" w:hAnsi="Arial"/>
          <w:sz w:val="22"/>
        </w:rPr>
        <w:t>constat d’affichage de l’avis d’enquête sur sept lieux répartis sur le territoire de la commune, réalisé par l’adjoint au chef de service de la Police Municipale,</w:t>
      </w:r>
    </w:p>
    <w:p>
      <w:pPr>
        <w:pStyle w:val="Normal"/>
        <w:numPr>
          <w:ilvl w:val="1"/>
          <w:numId w:val="6"/>
        </w:numPr>
        <w:spacing w:lineRule="auto" w:line="259" w:before="0" w:after="0"/>
        <w:rPr>
          <w:rFonts w:ascii="Arial" w:hAnsi="Arial" w:eastAsia="Times New Roman" w:cs="Arial"/>
          <w:sz w:val="22"/>
        </w:rPr>
      </w:pPr>
      <w:r>
        <w:rPr>
          <w:rFonts w:eastAsia="Times New Roman" w:cs="Arial" w:ascii="Arial" w:hAnsi="Arial"/>
          <w:sz w:val="22"/>
        </w:rPr>
        <w:t>mise à disposition de l’ensemble du dossier sur le site de la Préfecture du Val d’Oise dont l’adresse figure sur l’avis et l’arrêté.</w:t>
      </w:r>
    </w:p>
    <w:p>
      <w:pPr>
        <w:pStyle w:val="Normal"/>
        <w:tabs>
          <w:tab w:val="clear" w:pos="708"/>
          <w:tab w:val="left" w:pos="720" w:leader="none"/>
        </w:tabs>
        <w:spacing w:lineRule="auto" w:line="259" w:before="0" w:after="0"/>
        <w:ind w:left="0" w:hanging="0"/>
        <w:rPr>
          <w:rFonts w:ascii="Arial" w:hAnsi="Arial" w:eastAsia="Times New Roman" w:cs="Arial"/>
          <w:sz w:val="22"/>
        </w:rPr>
      </w:pPr>
      <w:r>
        <w:rPr>
          <w:rFonts w:eastAsia="Times New Roman" w:cs="Arial" w:ascii="Arial" w:hAnsi="Arial"/>
          <w:sz w:val="22"/>
        </w:rPr>
        <w:t xml:space="preserve">  </w:t>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t> </w:t>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sz w:val="22"/>
        </w:rPr>
        <w:t> </w:t>
      </w:r>
      <w:r>
        <w:rPr>
          <w:rFonts w:eastAsia="Times New Roman" w:cs="Arial" w:ascii="Arial" w:hAnsi="Arial"/>
          <w:b/>
          <w:bCs/>
          <w:sz w:val="22"/>
        </w:rPr>
        <w:t>Dossier enquête parcellaire</w:t>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r>
    </w:p>
    <w:p>
      <w:pPr>
        <w:pStyle w:val="Normal"/>
        <w:numPr>
          <w:ilvl w:val="0"/>
          <w:numId w:val="41"/>
        </w:numPr>
        <w:tabs>
          <w:tab w:val="clear" w:pos="708"/>
          <w:tab w:val="left" w:pos="720" w:leader="none"/>
        </w:tabs>
        <w:spacing w:lineRule="auto" w:line="259" w:before="0" w:after="0"/>
        <w:rPr>
          <w:rFonts w:ascii="Arial" w:hAnsi="Arial" w:eastAsia="Times New Roman" w:cs="Arial"/>
          <w:sz w:val="22"/>
        </w:rPr>
      </w:pPr>
      <w:r>
        <w:rPr>
          <w:rFonts w:eastAsia="Times New Roman" w:cs="Arial" w:ascii="Arial" w:hAnsi="Arial"/>
          <w:sz w:val="22"/>
        </w:rPr>
        <w:t>Notice explicative jointe au dossier de l’enquête DUP (contenu décrit ci-dessus),</w:t>
      </w:r>
    </w:p>
    <w:p>
      <w:pPr>
        <w:pStyle w:val="Normal"/>
        <w:numPr>
          <w:ilvl w:val="0"/>
          <w:numId w:val="7"/>
        </w:numPr>
        <w:tabs>
          <w:tab w:val="clear" w:pos="708"/>
          <w:tab w:val="left" w:pos="720" w:leader="none"/>
        </w:tabs>
        <w:spacing w:lineRule="auto" w:line="259" w:before="0" w:after="0"/>
        <w:rPr>
          <w:rFonts w:ascii="Arial" w:hAnsi="Arial" w:eastAsia="Times New Roman" w:cs="Arial"/>
          <w:sz w:val="22"/>
        </w:rPr>
      </w:pPr>
      <w:r>
        <w:rPr>
          <w:rFonts w:eastAsia="Times New Roman" w:cs="Arial" w:ascii="Arial" w:hAnsi="Arial"/>
          <w:sz w:val="22"/>
        </w:rPr>
        <w:t>Objet du dossier et cadre juridique (p 2 à 3)</w:t>
      </w:r>
    </w:p>
    <w:p>
      <w:pPr>
        <w:pStyle w:val="ListParagraph"/>
        <w:numPr>
          <w:ilvl w:val="0"/>
          <w:numId w:val="7"/>
        </w:numPr>
        <w:spacing w:lineRule="auto" w:line="259" w:before="0" w:after="0"/>
        <w:contextualSpacing/>
        <w:rPr>
          <w:rFonts w:ascii="Arial" w:hAnsi="Arial" w:eastAsia="Times New Roman" w:cs="Arial"/>
          <w:sz w:val="22"/>
        </w:rPr>
      </w:pPr>
      <w:r>
        <w:rPr>
          <w:rFonts w:eastAsia="Times New Roman" w:cs="Arial" w:ascii="Arial" w:hAnsi="Arial"/>
          <w:sz w:val="22"/>
        </w:rPr>
        <w:t>Délibération initiant la procédure (N° 20/2021- Mairie de Gonesse) (p 4 et 5)</w:t>
      </w:r>
    </w:p>
    <w:p>
      <w:pPr>
        <w:pStyle w:val="Normal"/>
        <w:numPr>
          <w:ilvl w:val="0"/>
          <w:numId w:val="7"/>
        </w:numPr>
        <w:tabs>
          <w:tab w:val="clear" w:pos="708"/>
          <w:tab w:val="left" w:pos="720" w:leader="none"/>
        </w:tabs>
        <w:spacing w:lineRule="auto" w:line="259" w:before="0" w:after="0"/>
        <w:rPr>
          <w:rFonts w:ascii="Arial" w:hAnsi="Arial" w:eastAsia="Times New Roman" w:cs="Arial"/>
          <w:sz w:val="22"/>
        </w:rPr>
      </w:pPr>
      <w:r>
        <w:rPr>
          <w:rFonts w:eastAsia="Times New Roman" w:cs="Arial" w:ascii="Arial" w:hAnsi="Arial"/>
          <w:sz w:val="22"/>
        </w:rPr>
        <w:t>Plan et état du parcellaire (p 6 à 12)</w:t>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ListParagraph"/>
        <w:keepNext w:val="true"/>
        <w:keepLines/>
        <w:numPr>
          <w:ilvl w:val="0"/>
          <w:numId w:val="1"/>
        </w:numPr>
        <w:spacing w:lineRule="auto" w:line="247" w:before="0" w:after="5"/>
        <w:contextualSpacing/>
        <w:outlineLvl w:val="0"/>
        <w:rPr>
          <w:rFonts w:ascii="Arial" w:hAnsi="Arial" w:eastAsia="Times New Roman" w:cs="Arial"/>
          <w:b/>
          <w:b/>
          <w:sz w:val="22"/>
        </w:rPr>
      </w:pPr>
      <w:r>
        <w:rPr>
          <w:rFonts w:eastAsia="Times New Roman" w:cs="Arial" w:ascii="Arial" w:hAnsi="Arial"/>
          <w:b/>
          <w:sz w:val="22"/>
        </w:rPr>
        <w:t xml:space="preserve">Organisation de l’enquête </w:t>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t xml:space="preserve"> </w:t>
      </w:r>
    </w:p>
    <w:p>
      <w:pPr>
        <w:pStyle w:val="ListParagraph"/>
        <w:numPr>
          <w:ilvl w:val="1"/>
          <w:numId w:val="2"/>
        </w:numPr>
        <w:spacing w:lineRule="auto" w:line="247" w:before="0" w:after="5"/>
        <w:contextualSpacing/>
        <w:jc w:val="both"/>
        <w:rPr>
          <w:rFonts w:ascii="Arial" w:hAnsi="Arial" w:eastAsia="Times New Roman" w:cs="Arial"/>
          <w:b/>
          <w:b/>
          <w:bCs/>
          <w:sz w:val="22"/>
        </w:rPr>
      </w:pPr>
      <w:r>
        <w:rPr>
          <w:rFonts w:eastAsia="Times New Roman" w:cs="Arial" w:ascii="Arial" w:hAnsi="Arial"/>
          <w:sz w:val="22"/>
        </w:rPr>
        <w:t xml:space="preserve"> </w:t>
      </w:r>
      <w:r>
        <w:rPr>
          <w:rFonts w:eastAsia="Times New Roman" w:cs="Arial" w:ascii="Arial" w:hAnsi="Arial"/>
          <w:b/>
          <w:bCs/>
          <w:sz w:val="22"/>
        </w:rPr>
        <w:t>Désignation du commissaire enquêteur</w:t>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Normal"/>
        <w:spacing w:lineRule="auto" w:line="247" w:before="0" w:after="5"/>
        <w:jc w:val="both"/>
        <w:rPr>
          <w:rFonts w:ascii="Arial" w:hAnsi="Arial" w:eastAsia="Times New Roman" w:cs="Arial"/>
          <w:sz w:val="22"/>
        </w:rPr>
      </w:pPr>
      <w:r>
        <w:rPr>
          <w:rFonts w:eastAsia="Times New Roman" w:cs="Arial" w:ascii="Arial" w:hAnsi="Arial"/>
          <w:sz w:val="22"/>
        </w:rPr>
        <w:t xml:space="preserve">Par décision </w:t>
      </w:r>
      <w:r>
        <w:rPr>
          <w:rFonts w:eastAsia="Times New Roman" w:cs="Arial" w:ascii="Arial" w:hAnsi="Arial"/>
          <w:i/>
          <w:sz w:val="22"/>
        </w:rPr>
        <w:t xml:space="preserve">N° E23000057/95 du 22 novembre 2023, </w:t>
      </w:r>
      <w:r>
        <w:rPr>
          <w:rFonts w:eastAsia="Times New Roman" w:cs="Arial" w:ascii="Arial" w:hAnsi="Arial"/>
          <w:sz w:val="22"/>
        </w:rPr>
        <w:t>Monsieur le Président du Tribunal administratif de Cergy-Pontoise, a désigné Monsieur Eric SEYNAVE en qualité de commissaire enquêteur pour la conduite de l’enquête publique préalable à la Déclaration d'Utilité Publique (DUP) conjointe à une enquête parcellaire dans le cadre du projet de réalisation d’un lotissement dit « des Jasmins » d’habitat individuel groupé de 20 lots à bâtir et d’espaces publics aménagés sur des délaissés fonciers.</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t>Le commissaire enquêteur est désigné par décision de Monsieur le Président du Tribunal Administratif de Cergy-Pontoise, à la demande de l’autorité organisatrice, en l’occurrence, la Préfecture du Val d’Oise.</w:t>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t>Le commissaire enquêteur est choisi sur une liste d’aptitude départementale révisée annuellement. L’article L123-5</w:t>
      </w:r>
      <w:r>
        <w:rPr>
          <w:rFonts w:eastAsia="Times New Roman" w:cs="Arial" w:ascii="Arial" w:hAnsi="Arial"/>
          <w:sz w:val="22"/>
        </w:rPr>
        <w:t xml:space="preserve"> </w:t>
      </w:r>
      <w:r>
        <w:rPr>
          <w:rFonts w:eastAsia="Times New Roman" w:cs="Arial" w:ascii="Arial" w:hAnsi="Arial"/>
          <w:bCs/>
          <w:iCs/>
          <w:sz w:val="22"/>
        </w:rPr>
        <w:t>du code de l’environnement, modifié par la LOI n° 2019-1461 du 27 décembre 2019 article 81, précise que :</w:t>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r>
    </w:p>
    <w:p>
      <w:pPr>
        <w:pStyle w:val="Normal"/>
        <w:spacing w:lineRule="auto" w:line="247" w:before="0" w:after="5"/>
        <w:jc w:val="both"/>
        <w:rPr>
          <w:rFonts w:ascii="Arial" w:hAnsi="Arial" w:eastAsia="Times New Roman" w:cs="Arial"/>
          <w:bCs/>
          <w:i/>
          <w:i/>
          <w:iCs/>
          <w:sz w:val="22"/>
        </w:rPr>
      </w:pPr>
      <w:r>
        <w:rPr>
          <w:rFonts w:eastAsia="Times New Roman" w:cs="Arial" w:ascii="Arial" w:hAnsi="Arial"/>
          <w:bCs/>
          <w:i/>
          <w:iCs/>
          <w:sz w:val="22"/>
        </w:rPr>
        <w:t xml:space="preserve"> </w:t>
      </w:r>
      <w:r>
        <w:rPr>
          <w:rFonts w:eastAsia="Times New Roman" w:cs="Arial" w:ascii="Arial" w:hAnsi="Arial"/>
          <w:bCs/>
          <w:i/>
          <w:iCs/>
          <w:sz w:val="22"/>
        </w:rPr>
        <w:t>« Ne peuvent être désignées commissaire enquêteur ou membre de la commission d'enquête les personnes intéressées au projet à titre personnel, en raison de leurs fonctions électives exercées sur le territoire concerné par l'enquête publique, ou en raison de leurs fonctions, notamment au sein de la collectivité, de l'organisme ou du service qui assure la maîtrise d'ouvrage, la maîtrise d'œuvre ou le contrôle de l'opération soumise à enquête. »</w:t>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r>
    </w:p>
    <w:p>
      <w:pPr>
        <w:pStyle w:val="Normal"/>
        <w:spacing w:lineRule="auto" w:line="247" w:before="0" w:after="5"/>
        <w:jc w:val="both"/>
        <w:rPr>
          <w:rFonts w:ascii="Arial" w:hAnsi="Arial" w:eastAsia="Times New Roman" w:cs="Arial"/>
          <w:sz w:val="22"/>
        </w:rPr>
      </w:pPr>
      <w:r>
        <w:rPr>
          <w:rFonts w:eastAsia="Times New Roman" w:cs="Arial" w:ascii="Arial" w:hAnsi="Arial"/>
          <w:sz w:val="22"/>
        </w:rPr>
        <w:t>Cette disposition législative, ainsi que la procédure de désignation par une autorité judiciaire, garantissent l’indépendance totale du commissaire enquêteur à l’égard, aussi bien, de l’autorité organisatrice, que de l’administration ou du public, ainsi que sa parfaite neutralité.</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Normal"/>
        <w:spacing w:lineRule="auto" w:line="247" w:before="0" w:after="5"/>
        <w:jc w:val="both"/>
        <w:rPr>
          <w:rFonts w:ascii="Arial" w:hAnsi="Arial" w:eastAsia="Times New Roman" w:cs="Arial"/>
          <w:sz w:val="22"/>
        </w:rPr>
      </w:pPr>
      <w:r>
        <w:rPr>
          <w:rFonts w:eastAsia="Times New Roman" w:cs="Arial" w:ascii="Arial" w:hAnsi="Arial"/>
          <w:sz w:val="22"/>
        </w:rPr>
        <w:t xml:space="preserve">Il n’est bien entendu pas de la responsabilité du commissaire enquêteur de se prononcer sur la légalité de l’environnement administratif. Cela est et reste du ressort du Tribunal Administratif compétent. </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Normal"/>
        <w:spacing w:lineRule="auto" w:line="247" w:before="0" w:after="5"/>
        <w:jc w:val="both"/>
        <w:rPr>
          <w:rFonts w:ascii="Arial" w:hAnsi="Arial" w:eastAsia="Times New Roman" w:cs="Arial"/>
          <w:sz w:val="22"/>
        </w:rPr>
      </w:pPr>
      <w:r>
        <w:rPr>
          <w:rFonts w:eastAsia="Times New Roman" w:cs="Arial" w:ascii="Arial" w:hAnsi="Arial"/>
          <w:sz w:val="22"/>
        </w:rPr>
        <w:t>Il n’est pas du ressort du commissaire enquêteur de dire le droit, mais simplement il peut dire s’il lui semble que la procédure décrite ci-dessus est légale et s’il lui semble qu’elle a été respectée dans la conduite de cette enquête.</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ListParagraph"/>
        <w:numPr>
          <w:ilvl w:val="1"/>
          <w:numId w:val="2"/>
        </w:numPr>
        <w:spacing w:lineRule="auto" w:line="247" w:before="0" w:after="5"/>
        <w:contextualSpacing/>
        <w:jc w:val="both"/>
        <w:rPr>
          <w:rFonts w:ascii="Arial" w:hAnsi="Arial" w:eastAsia="Times New Roman" w:cs="Arial"/>
          <w:sz w:val="22"/>
        </w:rPr>
      </w:pPr>
      <w:r>
        <w:rPr>
          <w:rFonts w:eastAsia="Times New Roman" w:cs="Arial" w:ascii="Arial" w:hAnsi="Arial"/>
          <w:sz w:val="22"/>
        </w:rPr>
        <w:t xml:space="preserve"> </w:t>
      </w:r>
      <w:r>
        <w:rPr>
          <w:rFonts w:eastAsia="Times New Roman" w:cs="Arial" w:ascii="Arial" w:hAnsi="Arial"/>
          <w:b/>
          <w:bCs/>
          <w:sz w:val="22"/>
        </w:rPr>
        <w:t>Arrêté d’ouverture d’enquête</w:t>
      </w:r>
      <w:r>
        <w:rPr>
          <w:rFonts w:eastAsia="Times New Roman" w:cs="Arial" w:ascii="Arial" w:hAnsi="Arial"/>
          <w:sz w:val="22"/>
        </w:rPr>
        <w:t xml:space="preserve"> </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Normal"/>
        <w:spacing w:lineRule="auto" w:line="247" w:before="0" w:after="5"/>
        <w:jc w:val="both"/>
        <w:rPr>
          <w:rFonts w:ascii="Arial" w:hAnsi="Arial" w:eastAsia="Times New Roman" w:cs="Arial"/>
          <w:color w:val="auto"/>
          <w:sz w:val="22"/>
        </w:rPr>
      </w:pPr>
      <w:r>
        <w:rPr>
          <w:rFonts w:eastAsia="Times New Roman" w:cs="Arial" w:ascii="Arial" w:hAnsi="Arial"/>
          <w:color w:val="auto"/>
          <w:sz w:val="22"/>
        </w:rPr>
        <w:t>Une première réunion, sous forme de visio-conférence, a eu lieu le 28 novembre 2023 avec   - Madame Virginie Fromont représentant la Préfecture du Val d’Oise,</w:t>
      </w:r>
    </w:p>
    <w:p>
      <w:pPr>
        <w:pStyle w:val="Normal"/>
        <w:spacing w:lineRule="auto" w:line="247" w:before="0" w:after="5"/>
        <w:jc w:val="both"/>
        <w:rPr>
          <w:rFonts w:ascii="Arial" w:hAnsi="Arial" w:eastAsia="Times New Roman" w:cs="Arial"/>
          <w:color w:val="auto"/>
          <w:sz w:val="22"/>
        </w:rPr>
      </w:pPr>
      <w:r>
        <w:rPr>
          <w:rFonts w:eastAsia="Times New Roman" w:cs="Arial" w:ascii="Arial" w:hAnsi="Arial"/>
          <w:color w:val="auto"/>
          <w:sz w:val="22"/>
        </w:rPr>
        <w:t>- Madame Estelle Benoit représentant la ville de Gonesse,</w:t>
      </w:r>
    </w:p>
    <w:p>
      <w:pPr>
        <w:pStyle w:val="Normal"/>
        <w:spacing w:lineRule="auto" w:line="247" w:before="0" w:after="5"/>
        <w:jc w:val="both"/>
        <w:rPr>
          <w:rFonts w:ascii="Arial" w:hAnsi="Arial" w:eastAsia="Times New Roman" w:cs="Arial"/>
          <w:color w:val="auto"/>
          <w:sz w:val="22"/>
        </w:rPr>
      </w:pPr>
      <w:r>
        <w:rPr>
          <w:rFonts w:eastAsia="Times New Roman" w:cs="Arial" w:ascii="Arial" w:hAnsi="Arial"/>
          <w:color w:val="auto"/>
          <w:sz w:val="22"/>
        </w:rPr>
        <w:t>- Monsieur Eric Seynave, commissaire enquêteur.</w:t>
      </w:r>
    </w:p>
    <w:p>
      <w:pPr>
        <w:pStyle w:val="Normal"/>
        <w:spacing w:lineRule="auto" w:line="247" w:before="0" w:after="5"/>
        <w:jc w:val="both"/>
        <w:rPr>
          <w:rFonts w:ascii="Arial" w:hAnsi="Arial" w:eastAsia="Times New Roman" w:cs="Arial"/>
          <w:color w:val="auto"/>
          <w:sz w:val="22"/>
        </w:rPr>
      </w:pPr>
      <w:r>
        <w:rPr>
          <w:rFonts w:eastAsia="Times New Roman" w:cs="Arial" w:ascii="Arial" w:hAnsi="Arial"/>
          <w:color w:val="auto"/>
          <w:sz w:val="22"/>
        </w:rPr>
        <w:t>Cette réunion a permis de valider la procédure (contenu des dossiers, mesures de publicité, calendrier) et de prévoir la tenue de l’enquête publique du lundi 29 janvier 2024 au lundi 12 février 2024, soit 15 jours consécutifs. (Compte rendu joint en annexe du rapport)</w:t>
      </w:r>
    </w:p>
    <w:p>
      <w:pPr>
        <w:pStyle w:val="Normal"/>
        <w:spacing w:lineRule="auto" w:line="247" w:before="0" w:after="5"/>
        <w:jc w:val="both"/>
        <w:rPr>
          <w:rFonts w:ascii="Arial" w:hAnsi="Arial" w:eastAsia="Times New Roman" w:cs="Arial"/>
          <w:color w:val="auto"/>
          <w:sz w:val="22"/>
        </w:rPr>
      </w:pPr>
      <w:r>
        <w:rPr>
          <w:rFonts w:eastAsia="Times New Roman" w:cs="Arial" w:ascii="Arial" w:hAnsi="Arial"/>
          <w:color w:val="auto"/>
          <w:sz w:val="22"/>
        </w:rPr>
      </w:r>
    </w:p>
    <w:p>
      <w:pPr>
        <w:pStyle w:val="Normal"/>
        <w:spacing w:lineRule="auto" w:line="247" w:before="0" w:after="5"/>
        <w:jc w:val="both"/>
        <w:rPr>
          <w:rFonts w:ascii="Arial" w:hAnsi="Arial" w:eastAsia="Times New Roman" w:cs="Arial"/>
          <w:color w:val="auto"/>
          <w:sz w:val="22"/>
        </w:rPr>
      </w:pPr>
      <w:r>
        <w:rPr>
          <w:rFonts w:eastAsia="Times New Roman" w:cs="Arial" w:ascii="Arial" w:hAnsi="Arial"/>
          <w:color w:val="auto"/>
          <w:sz w:val="22"/>
        </w:rPr>
        <w:t>L’organisation de l’enquête a été précisée et le contenu des dossiers ajusté en conséquence :</w:t>
      </w:r>
    </w:p>
    <w:p>
      <w:pPr>
        <w:pStyle w:val="Normal"/>
        <w:spacing w:lineRule="auto" w:line="247" w:before="0" w:after="5"/>
        <w:ind w:left="0" w:hanging="0"/>
        <w:jc w:val="both"/>
        <w:rPr>
          <w:rFonts w:ascii="Arial" w:hAnsi="Arial" w:eastAsia="Times New Roman" w:cs="Arial"/>
          <w:color w:val="auto"/>
          <w:sz w:val="22"/>
        </w:rPr>
      </w:pPr>
      <w:r>
        <w:rPr>
          <w:rFonts w:eastAsia="Times New Roman" w:cs="Arial" w:ascii="Arial" w:hAnsi="Arial"/>
          <w:color w:val="auto"/>
          <w:sz w:val="22"/>
        </w:rPr>
      </w:r>
    </w:p>
    <w:p>
      <w:pPr>
        <w:pStyle w:val="Normal"/>
        <w:numPr>
          <w:ilvl w:val="0"/>
          <w:numId w:val="4"/>
        </w:numPr>
        <w:spacing w:lineRule="auto" w:line="247" w:before="0" w:after="5"/>
        <w:jc w:val="both"/>
        <w:rPr>
          <w:rFonts w:ascii="Arial" w:hAnsi="Arial" w:eastAsia="Times New Roman" w:cs="Arial"/>
          <w:color w:val="auto"/>
          <w:sz w:val="22"/>
        </w:rPr>
      </w:pPr>
      <w:r>
        <w:rPr>
          <w:rFonts w:eastAsia="Times New Roman" w:cs="Arial" w:ascii="Arial" w:hAnsi="Arial"/>
          <w:color w:val="auto"/>
          <w:sz w:val="22"/>
        </w:rPr>
        <w:t xml:space="preserve">début d’enquête : lundi 29 janvier 2024 à 9h00 </w:t>
      </w:r>
    </w:p>
    <w:p>
      <w:pPr>
        <w:pStyle w:val="Normal"/>
        <w:numPr>
          <w:ilvl w:val="0"/>
          <w:numId w:val="4"/>
        </w:numPr>
        <w:spacing w:lineRule="auto" w:line="247" w:before="0" w:after="5"/>
        <w:jc w:val="both"/>
        <w:rPr>
          <w:rFonts w:ascii="Arial" w:hAnsi="Arial" w:eastAsia="Times New Roman" w:cs="Arial"/>
          <w:color w:val="auto"/>
          <w:sz w:val="22"/>
        </w:rPr>
      </w:pPr>
      <w:r>
        <w:rPr>
          <w:rFonts w:eastAsia="Times New Roman" w:cs="Arial" w:ascii="Arial" w:hAnsi="Arial"/>
          <w:color w:val="auto"/>
          <w:sz w:val="22"/>
        </w:rPr>
        <w:t>fin d’enquête : lundi 12 février à 17h30</w:t>
      </w:r>
    </w:p>
    <w:p>
      <w:pPr>
        <w:pStyle w:val="Normal"/>
        <w:spacing w:lineRule="auto" w:line="247" w:before="0" w:after="5"/>
        <w:jc w:val="both"/>
        <w:rPr>
          <w:rFonts w:ascii="Arial" w:hAnsi="Arial" w:eastAsia="Times New Roman" w:cs="Arial"/>
          <w:bCs/>
          <w:iCs/>
          <w:color w:val="auto"/>
          <w:sz w:val="22"/>
        </w:rPr>
      </w:pPr>
      <w:r>
        <w:rPr>
          <w:rFonts w:eastAsia="Times New Roman" w:cs="Arial" w:ascii="Arial" w:hAnsi="Arial"/>
          <w:bCs/>
          <w:iCs/>
          <w:color w:val="auto"/>
          <w:sz w:val="22"/>
        </w:rPr>
        <w:t>Les dates et heures de permanences proposées sont les suivantes :</w:t>
      </w:r>
    </w:p>
    <w:p>
      <w:pPr>
        <w:pStyle w:val="Normal"/>
        <w:spacing w:lineRule="auto" w:line="247" w:before="0" w:after="5"/>
        <w:jc w:val="both"/>
        <w:rPr>
          <w:rFonts w:ascii="Arial" w:hAnsi="Arial" w:eastAsia="Times New Roman" w:cs="Arial"/>
          <w:bCs/>
          <w:iCs/>
          <w:color w:val="auto"/>
          <w:sz w:val="22"/>
        </w:rPr>
      </w:pPr>
      <w:r>
        <w:rPr>
          <w:rFonts w:eastAsia="Times New Roman" w:cs="Arial" w:ascii="Arial" w:hAnsi="Arial"/>
          <w:bCs/>
          <w:iCs/>
          <w:color w:val="auto"/>
          <w:sz w:val="22"/>
        </w:rPr>
      </w:r>
    </w:p>
    <w:p>
      <w:pPr>
        <w:pStyle w:val="Normal"/>
        <w:numPr>
          <w:ilvl w:val="0"/>
          <w:numId w:val="3"/>
        </w:numPr>
        <w:spacing w:lineRule="auto" w:line="247" w:before="0" w:after="5"/>
        <w:jc w:val="both"/>
        <w:rPr>
          <w:rFonts w:ascii="Arial" w:hAnsi="Arial" w:eastAsia="Times New Roman" w:cs="Arial"/>
          <w:bCs/>
          <w:iCs/>
          <w:color w:val="auto"/>
          <w:sz w:val="22"/>
        </w:rPr>
      </w:pPr>
      <w:bookmarkStart w:id="8" w:name="_Hlk78827390"/>
      <w:r>
        <w:rPr>
          <w:rFonts w:eastAsia="Times New Roman" w:cs="Arial" w:ascii="Arial" w:hAnsi="Arial"/>
          <w:bCs/>
          <w:iCs/>
          <w:color w:val="auto"/>
          <w:sz w:val="22"/>
        </w:rPr>
        <w:t>lundi 29 janvier de 9h00 à 12h00, - Jour d’ouverture</w:t>
      </w:r>
    </w:p>
    <w:p>
      <w:pPr>
        <w:pStyle w:val="Normal"/>
        <w:numPr>
          <w:ilvl w:val="0"/>
          <w:numId w:val="3"/>
        </w:numPr>
        <w:spacing w:lineRule="auto" w:line="247" w:before="0" w:after="5"/>
        <w:jc w:val="both"/>
        <w:rPr>
          <w:rFonts w:ascii="Arial" w:hAnsi="Arial" w:eastAsia="Times New Roman" w:cs="Arial"/>
          <w:bCs/>
          <w:iCs/>
          <w:color w:val="auto"/>
          <w:sz w:val="22"/>
        </w:rPr>
      </w:pPr>
      <w:r>
        <w:rPr>
          <w:rFonts w:eastAsia="Times New Roman" w:cs="Arial" w:ascii="Arial" w:hAnsi="Arial"/>
          <w:bCs/>
          <w:iCs/>
          <w:color w:val="auto"/>
          <w:sz w:val="22"/>
        </w:rPr>
        <w:t xml:space="preserve">lundi 5 février 2024 de 14h30 à 17h30,  </w:t>
      </w:r>
    </w:p>
    <w:p>
      <w:pPr>
        <w:pStyle w:val="Normal"/>
        <w:numPr>
          <w:ilvl w:val="0"/>
          <w:numId w:val="3"/>
        </w:numPr>
        <w:spacing w:lineRule="auto" w:line="247" w:before="0" w:after="5"/>
        <w:jc w:val="both"/>
        <w:rPr>
          <w:rFonts w:ascii="Arial" w:hAnsi="Arial" w:eastAsia="Times New Roman" w:cs="Arial"/>
          <w:bCs/>
          <w:iCs/>
          <w:color w:val="auto"/>
          <w:sz w:val="22"/>
        </w:rPr>
      </w:pPr>
      <w:bookmarkStart w:id="9" w:name="_Hlk78827390"/>
      <w:r>
        <w:rPr>
          <w:rFonts w:eastAsia="Times New Roman" w:cs="Arial" w:ascii="Arial" w:hAnsi="Arial"/>
          <w:bCs/>
          <w:iCs/>
          <w:color w:val="auto"/>
          <w:sz w:val="22"/>
        </w:rPr>
        <w:t xml:space="preserve">lundi 12 février 2024 de 14h30 à 17h30.  </w:t>
      </w:r>
      <w:bookmarkEnd w:id="9"/>
      <w:r>
        <w:rPr>
          <w:rFonts w:eastAsia="Times New Roman" w:cs="Arial" w:ascii="Arial" w:hAnsi="Arial"/>
          <w:bCs/>
          <w:iCs/>
          <w:color w:val="auto"/>
          <w:sz w:val="22"/>
        </w:rPr>
        <w:t>- Jour de clôture</w:t>
      </w:r>
    </w:p>
    <w:p>
      <w:pPr>
        <w:pStyle w:val="Normal"/>
        <w:spacing w:lineRule="auto" w:line="247" w:before="0" w:after="5"/>
        <w:jc w:val="both"/>
        <w:rPr>
          <w:rFonts w:ascii="Arial" w:hAnsi="Arial" w:eastAsia="Times New Roman" w:cs="Arial"/>
          <w:bCs/>
          <w:iCs/>
          <w:color w:val="auto"/>
          <w:sz w:val="22"/>
        </w:rPr>
      </w:pPr>
      <w:r>
        <w:rPr>
          <w:rFonts w:eastAsia="Times New Roman" w:cs="Arial" w:ascii="Arial" w:hAnsi="Arial"/>
          <w:bCs/>
          <w:iCs/>
          <w:color w:val="auto"/>
          <w:sz w:val="22"/>
        </w:rPr>
      </w:r>
    </w:p>
    <w:p>
      <w:pPr>
        <w:pStyle w:val="Normal"/>
        <w:spacing w:lineRule="auto" w:line="247" w:before="0" w:after="5"/>
        <w:jc w:val="both"/>
        <w:rPr>
          <w:rFonts w:ascii="Arial" w:hAnsi="Arial" w:eastAsia="Times New Roman" w:cs="Arial"/>
          <w:b/>
          <w:b/>
          <w:bCs/>
          <w:iCs/>
          <w:color w:val="auto"/>
          <w:sz w:val="22"/>
        </w:rPr>
      </w:pPr>
      <w:r>
        <w:rPr>
          <w:rFonts w:eastAsia="Times New Roman" w:cs="Arial" w:ascii="Arial" w:hAnsi="Arial"/>
          <w:b/>
          <w:bCs/>
          <w:iCs/>
          <w:color w:val="auto"/>
          <w:sz w:val="22"/>
        </w:rPr>
      </w:r>
    </w:p>
    <w:p>
      <w:pPr>
        <w:pStyle w:val="Normal"/>
        <w:spacing w:lineRule="auto" w:line="247" w:before="0" w:after="5"/>
        <w:jc w:val="both"/>
        <w:rPr>
          <w:rFonts w:ascii="Arial" w:hAnsi="Arial" w:eastAsia="Times New Roman" w:cs="Arial"/>
          <w:b/>
          <w:b/>
          <w:bCs/>
          <w:iCs/>
          <w:color w:val="auto"/>
          <w:sz w:val="22"/>
        </w:rPr>
      </w:pPr>
      <w:r>
        <w:rPr>
          <w:rFonts w:eastAsia="Times New Roman" w:cs="Arial" w:ascii="Arial" w:hAnsi="Arial"/>
          <w:b/>
          <w:bCs/>
          <w:iCs/>
          <w:color w:val="auto"/>
          <w:sz w:val="22"/>
        </w:rPr>
      </w:r>
    </w:p>
    <w:p>
      <w:pPr>
        <w:pStyle w:val="Normal"/>
        <w:spacing w:lineRule="auto" w:line="247" w:before="0" w:after="5"/>
        <w:jc w:val="both"/>
        <w:rPr>
          <w:rFonts w:ascii="Arial" w:hAnsi="Arial" w:eastAsia="Times New Roman" w:cs="Arial"/>
          <w:b/>
          <w:b/>
          <w:bCs/>
          <w:iCs/>
          <w:color w:val="auto"/>
          <w:sz w:val="22"/>
        </w:rPr>
      </w:pPr>
      <w:r>
        <w:rPr>
          <w:rFonts w:eastAsia="Times New Roman" w:cs="Arial" w:ascii="Arial" w:hAnsi="Arial"/>
          <w:b/>
          <w:bCs/>
          <w:iCs/>
          <w:color w:val="auto"/>
          <w:sz w:val="22"/>
        </w:rPr>
      </w:r>
    </w:p>
    <w:p>
      <w:pPr>
        <w:pStyle w:val="Normal"/>
        <w:spacing w:lineRule="auto" w:line="247" w:before="0" w:after="5"/>
        <w:jc w:val="both"/>
        <w:rPr>
          <w:rFonts w:ascii="Arial" w:hAnsi="Arial" w:eastAsia="Times New Roman" w:cs="Arial"/>
          <w:b/>
          <w:b/>
          <w:bCs/>
          <w:iCs/>
          <w:color w:val="auto"/>
          <w:sz w:val="22"/>
        </w:rPr>
      </w:pPr>
      <w:r>
        <w:rPr>
          <w:rFonts w:eastAsia="Times New Roman" w:cs="Arial" w:ascii="Arial" w:hAnsi="Arial"/>
          <w:b/>
          <w:bCs/>
          <w:iCs/>
          <w:color w:val="auto"/>
          <w:sz w:val="22"/>
        </w:rPr>
      </w:r>
    </w:p>
    <w:p>
      <w:pPr>
        <w:pStyle w:val="Normal"/>
        <w:spacing w:lineRule="auto" w:line="247" w:before="0" w:after="5"/>
        <w:jc w:val="both"/>
        <w:rPr>
          <w:rFonts w:ascii="Arial" w:hAnsi="Arial" w:eastAsia="Times New Roman" w:cs="Arial"/>
          <w:b/>
          <w:b/>
          <w:bCs/>
          <w:iCs/>
          <w:color w:val="auto"/>
          <w:sz w:val="22"/>
        </w:rPr>
      </w:pPr>
      <w:r>
        <w:rPr>
          <w:rFonts w:eastAsia="Times New Roman" w:cs="Arial" w:ascii="Arial" w:hAnsi="Arial"/>
          <w:b/>
          <w:bCs/>
          <w:iCs/>
          <w:color w:val="auto"/>
          <w:sz w:val="22"/>
        </w:rPr>
        <w:t xml:space="preserve">Ce qui a permis d’établir l’arrêté N°2023-17486, signé le 10 janvier 2024 par le Préfet du Val d’Oise, portant ouverture d'une enquête publique préalable à la Déclaration d'Utilité Publique (DUP), conjointe à une enquête parcellaire, au bénéfice de la commune de Gonesse, relative au projet de réalisation d’un lotissement dit « des Jasmins » d’habitat individuel groupé de 20 lots à bâtir et d’espaces publics aménagés sur des délaissés fonciers. </w:t>
      </w:r>
    </w:p>
    <w:p>
      <w:pPr>
        <w:pStyle w:val="Normal"/>
        <w:spacing w:lineRule="auto" w:line="247" w:before="0" w:after="5"/>
        <w:jc w:val="both"/>
        <w:rPr>
          <w:rFonts w:ascii="Arial" w:hAnsi="Arial" w:eastAsia="Times New Roman" w:cs="Arial"/>
          <w:b/>
          <w:b/>
          <w:bCs/>
          <w:iCs/>
          <w:color w:val="auto"/>
          <w:sz w:val="22"/>
        </w:rPr>
      </w:pPr>
      <w:r>
        <w:rPr>
          <w:rFonts w:eastAsia="Times New Roman" w:cs="Arial" w:ascii="Arial" w:hAnsi="Arial"/>
          <w:b/>
          <w:bCs/>
          <w:iCs/>
          <w:color w:val="auto"/>
          <w:sz w:val="22"/>
        </w:rPr>
      </w:r>
    </w:p>
    <w:p>
      <w:pPr>
        <w:pStyle w:val="Normal"/>
        <w:spacing w:lineRule="auto" w:line="247" w:before="0" w:after="5"/>
        <w:jc w:val="both"/>
        <w:rPr>
          <w:rFonts w:ascii="Arial" w:hAnsi="Arial" w:eastAsia="Times New Roman" w:cs="Arial"/>
          <w:iCs/>
          <w:color w:val="auto"/>
          <w:sz w:val="22"/>
        </w:rPr>
      </w:pPr>
      <w:r>
        <w:rPr>
          <w:rFonts w:eastAsia="Times New Roman" w:cs="Arial" w:ascii="Arial" w:hAnsi="Arial"/>
          <w:iCs/>
          <w:color w:val="auto"/>
          <w:sz w:val="22"/>
        </w:rPr>
        <w:t>Les dossiers d’enquête conjointe (DUP et parcellaire), les deux registres d’enquête correspondants et l’arrêté ont été remis au commissaire enquêteur lors d’une réunion qui s’est tenue le 16 janvier 2024 à la Préfecture du Val d’Oise.</w:t>
      </w:r>
      <w:bookmarkStart w:id="10" w:name="_Hlk108886856"/>
      <w:bookmarkEnd w:id="10"/>
    </w:p>
    <w:p>
      <w:pPr>
        <w:pStyle w:val="Normal"/>
        <w:spacing w:lineRule="auto" w:line="247" w:before="0" w:after="5"/>
        <w:jc w:val="both"/>
        <w:rPr>
          <w:rFonts w:ascii="Arial" w:hAnsi="Arial" w:eastAsia="Times New Roman" w:cs="Arial"/>
          <w:iCs/>
          <w:color w:val="0070C0"/>
          <w:sz w:val="22"/>
        </w:rPr>
      </w:pPr>
      <w:r>
        <w:rPr>
          <w:rFonts w:eastAsia="Times New Roman" w:cs="Arial" w:ascii="Arial" w:hAnsi="Arial"/>
          <w:iCs/>
          <w:color w:val="0070C0"/>
          <w:sz w:val="22"/>
        </w:rPr>
      </w:r>
    </w:p>
    <w:p>
      <w:pPr>
        <w:pStyle w:val="Normal"/>
        <w:spacing w:lineRule="auto" w:line="247" w:before="0" w:after="5"/>
        <w:jc w:val="both"/>
        <w:rPr>
          <w:rFonts w:ascii="Arial" w:hAnsi="Arial" w:eastAsia="Times New Roman" w:cs="Arial"/>
          <w:color w:val="auto"/>
          <w:sz w:val="22"/>
        </w:rPr>
      </w:pPr>
      <w:r>
        <w:rPr>
          <w:rFonts w:eastAsia="Times New Roman" w:cs="Arial" w:ascii="Arial" w:hAnsi="Arial"/>
          <w:color w:val="auto"/>
          <w:sz w:val="22"/>
        </w:rPr>
        <w:t>Le tableau ci-après analyse la présence dans cet arrêté des informations définies par l’article R123-9 du code de l’environnement :</w:t>
      </w:r>
    </w:p>
    <w:p>
      <w:pPr>
        <w:pStyle w:val="Normal"/>
        <w:spacing w:lineRule="auto" w:line="247" w:before="0" w:after="5"/>
        <w:jc w:val="both"/>
        <w:rPr>
          <w:rFonts w:ascii="Arial" w:hAnsi="Arial" w:eastAsia="Times New Roman" w:cs="Arial"/>
          <w:color w:val="auto"/>
          <w:sz w:val="22"/>
        </w:rPr>
      </w:pPr>
      <w:r>
        <w:rPr>
          <w:rFonts w:eastAsia="Times New Roman" w:cs="Arial" w:ascii="Arial" w:hAnsi="Arial"/>
          <w:color w:val="auto"/>
          <w:sz w:val="22"/>
        </w:rPr>
      </w:r>
    </w:p>
    <w:tbl>
      <w:tblPr>
        <w:tblW w:w="10286" w:type="dxa"/>
        <w:jc w:val="left"/>
        <w:tblInd w:w="-998" w:type="dxa"/>
        <w:tblLayout w:type="fixed"/>
        <w:tblCellMar>
          <w:top w:w="0" w:type="dxa"/>
          <w:left w:w="108" w:type="dxa"/>
          <w:bottom w:w="0" w:type="dxa"/>
          <w:right w:w="108" w:type="dxa"/>
        </w:tblCellMar>
        <w:tblLook w:firstRow="1" w:noVBand="0" w:lastRow="1" w:firstColumn="1" w:lastColumn="1" w:noHBand="0" w:val="01e0"/>
      </w:tblPr>
      <w:tblGrid>
        <w:gridCol w:w="7405"/>
        <w:gridCol w:w="2880"/>
      </w:tblGrid>
      <w:tr>
        <w:trPr/>
        <w:tc>
          <w:tcPr>
            <w:tcW w:w="740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r>
          </w:p>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r>
          </w:p>
        </w:tc>
        <w:tc>
          <w:tcPr>
            <w:tcW w:w="288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t>Localisation dans l’arrêté</w:t>
            </w:r>
          </w:p>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r>
          </w:p>
        </w:tc>
      </w:tr>
      <w:tr>
        <w:trPr/>
        <w:tc>
          <w:tcPr>
            <w:tcW w:w="740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t>1) objet de l'enquête, les caractéristiques principales du projet, plan ou programme ainsi que l'identité de la ou des personnes responsables du projet, plan ou programme ou de l'autorité auprès de laquelle des informations peuvent être demandées </w:t>
            </w:r>
          </w:p>
        </w:tc>
        <w:tc>
          <w:tcPr>
            <w:tcW w:w="288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t>Articles 1, 2, 3, 4</w:t>
            </w:r>
          </w:p>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r>
          </w:p>
        </w:tc>
      </w:tr>
      <w:tr>
        <w:trPr/>
        <w:tc>
          <w:tcPr>
            <w:tcW w:w="740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t xml:space="preserve">2) En cas de pluralité de lieux d'enquête, le siège de l'enquête, où toute correspondance postale relative à l'enquête peut être adressée au commissaire enquêteur ou au président de la commission d'enquête ; </w:t>
            </w:r>
          </w:p>
        </w:tc>
        <w:tc>
          <w:tcPr>
            <w:tcW w:w="288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t>Sans objet</w:t>
            </w:r>
          </w:p>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r>
          </w:p>
        </w:tc>
      </w:tr>
      <w:tr>
        <w:trPr/>
        <w:tc>
          <w:tcPr>
            <w:tcW w:w="740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t>3) L'adresse du site internet de la Préfecture du Val d’Oise sur lequel, pendant toute la durée de l’enquête, les pièces du dossier soumis à l’enquête seront mises à disposition du public ;</w:t>
            </w:r>
          </w:p>
        </w:tc>
        <w:tc>
          <w:tcPr>
            <w:tcW w:w="288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r>
          </w:p>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t>Article 4</w:t>
            </w:r>
          </w:p>
        </w:tc>
      </w:tr>
      <w:tr>
        <w:trPr/>
        <w:tc>
          <w:tcPr>
            <w:tcW w:w="740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t xml:space="preserve">4) Les lieux, jours et heures où le commissaire enquêteur ou la commission d'enquête, représentée par un ou plusieurs de ses membres, se tiendra à la disposition du public pour recevoir ses observations ; </w:t>
            </w:r>
          </w:p>
        </w:tc>
        <w:tc>
          <w:tcPr>
            <w:tcW w:w="288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t>Article 4</w:t>
            </w:r>
          </w:p>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r>
          </w:p>
        </w:tc>
      </w:tr>
      <w:tr>
        <w:trPr/>
        <w:tc>
          <w:tcPr>
            <w:tcW w:w="740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t xml:space="preserve">5) Le cas échéant, la date et le lieu des réunions d'information et d'échange envisagées ; </w:t>
            </w:r>
          </w:p>
        </w:tc>
        <w:tc>
          <w:tcPr>
            <w:tcW w:w="288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t>Sans objet</w:t>
            </w:r>
          </w:p>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r>
          </w:p>
        </w:tc>
      </w:tr>
      <w:tr>
        <w:trPr/>
        <w:tc>
          <w:tcPr>
            <w:tcW w:w="740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t xml:space="preserve">6) La durée, le ou les lieux, ainsi que le ou les sites internet où à l'issue de l'enquête, le public pourra consulter le rapport et les conclusions du commissaire enquêteur ou de la commission d'enquête ; </w:t>
            </w:r>
          </w:p>
        </w:tc>
        <w:tc>
          <w:tcPr>
            <w:tcW w:w="288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t>Article 11</w:t>
            </w:r>
          </w:p>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r>
          </w:p>
        </w:tc>
      </w:tr>
      <w:tr>
        <w:trPr/>
        <w:tc>
          <w:tcPr>
            <w:tcW w:w="740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t>7) L'information selon laquelle, le cas échéant, le dossier d'enquête publique est transmis à un autre Etat, membre de l'Union européenne ou partie à la convention sur l'évaluation de l'impact sur l'environnement dans un contexte transfrontière, signée à Espoo le 25 février 1991, sur le territoire duquel le projet est susceptible d'avoir des incidences notables ;</w:t>
            </w:r>
          </w:p>
        </w:tc>
        <w:tc>
          <w:tcPr>
            <w:tcW w:w="288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t>Sans objet</w:t>
            </w:r>
          </w:p>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r>
          </w:p>
        </w:tc>
      </w:tr>
      <w:tr>
        <w:trPr/>
        <w:tc>
          <w:tcPr>
            <w:tcW w:w="7405"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t>8) s'il y a lieu, les coordonnées de chaque maître d'ouvrage ou de la personne publique responsable des différents éléments du ou des projets, plans ou programmes soumis à enquête.</w:t>
            </w:r>
          </w:p>
        </w:tc>
        <w:tc>
          <w:tcPr>
            <w:tcW w:w="288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t>Sans objet</w:t>
            </w:r>
          </w:p>
          <w:p>
            <w:pPr>
              <w:pStyle w:val="Normal"/>
              <w:widowControl w:val="false"/>
              <w:spacing w:lineRule="auto" w:line="247" w:before="0" w:after="5"/>
              <w:jc w:val="both"/>
              <w:rPr>
                <w:rFonts w:ascii="Arial" w:hAnsi="Arial" w:eastAsia="Times New Roman" w:cs="Arial"/>
                <w:color w:val="auto"/>
                <w:sz w:val="22"/>
              </w:rPr>
            </w:pPr>
            <w:r>
              <w:rPr>
                <w:rFonts w:eastAsia="Times New Roman" w:cs="Arial" w:ascii="Arial" w:hAnsi="Arial"/>
                <w:color w:val="auto"/>
                <w:sz w:val="22"/>
              </w:rPr>
            </w:r>
          </w:p>
        </w:tc>
      </w:tr>
    </w:tbl>
    <w:p>
      <w:pPr>
        <w:pStyle w:val="Normal"/>
        <w:spacing w:lineRule="auto" w:line="247" w:before="0" w:after="5"/>
        <w:jc w:val="both"/>
        <w:rPr>
          <w:rFonts w:ascii="Arial" w:hAnsi="Arial" w:eastAsia="Times New Roman" w:cs="Arial"/>
          <w:b/>
          <w:b/>
          <w:bCs/>
          <w:sz w:val="22"/>
        </w:rPr>
      </w:pPr>
      <w:r>
        <w:rPr>
          <w:rFonts w:eastAsia="Times New Roman" w:cs="Arial" w:ascii="Arial" w:hAnsi="Arial"/>
          <w:b/>
          <w:bCs/>
          <w:sz w:val="22"/>
        </w:rPr>
      </w:r>
    </w:p>
    <w:p>
      <w:pPr>
        <w:pStyle w:val="Normal"/>
        <w:spacing w:lineRule="auto" w:line="247" w:before="0" w:after="5"/>
        <w:jc w:val="both"/>
        <w:rPr>
          <w:rFonts w:ascii="Arial" w:hAnsi="Arial" w:eastAsia="Times New Roman" w:cs="Arial"/>
          <w:b/>
          <w:b/>
          <w:bCs/>
          <w:sz w:val="22"/>
        </w:rPr>
      </w:pPr>
      <w:r>
        <w:rPr>
          <w:rFonts w:eastAsia="Times New Roman" w:cs="Arial" w:ascii="Arial" w:hAnsi="Arial"/>
          <w:b/>
          <w:bCs/>
          <w:sz w:val="22"/>
        </w:rPr>
      </w:r>
    </w:p>
    <w:p>
      <w:pPr>
        <w:pStyle w:val="Normal"/>
        <w:spacing w:lineRule="auto" w:line="247" w:before="0" w:after="5"/>
        <w:jc w:val="both"/>
        <w:rPr>
          <w:rFonts w:ascii="Arial" w:hAnsi="Arial" w:eastAsia="Times New Roman" w:cs="Arial"/>
          <w:b/>
          <w:b/>
          <w:bCs/>
          <w:sz w:val="22"/>
        </w:rPr>
      </w:pPr>
      <w:r>
        <w:rPr>
          <w:rFonts w:eastAsia="Times New Roman" w:cs="Arial" w:ascii="Arial" w:hAnsi="Arial"/>
          <w:b/>
          <w:bCs/>
          <w:sz w:val="22"/>
        </w:rPr>
      </w:r>
    </w:p>
    <w:p>
      <w:pPr>
        <w:pStyle w:val="Normal"/>
        <w:spacing w:lineRule="auto" w:line="247" w:before="0" w:after="5"/>
        <w:ind w:left="31" w:hanging="0"/>
        <w:jc w:val="both"/>
        <w:rPr>
          <w:rFonts w:ascii="Arial" w:hAnsi="Arial" w:eastAsia="Times New Roman" w:cs="Arial"/>
          <w:b/>
          <w:b/>
          <w:bCs/>
          <w:sz w:val="22"/>
        </w:rPr>
      </w:pPr>
      <w:r>
        <w:rPr>
          <w:rFonts w:eastAsia="Times New Roman" w:cs="Arial" w:ascii="Arial" w:hAnsi="Arial"/>
          <w:b/>
          <w:bCs/>
          <w:sz w:val="22"/>
        </w:rPr>
        <w:t>2.3.</w:t>
        <w:tab/>
        <w:t>Réunion avec le porteur de projet et visite des lieux</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t>Une réunion a été organisée le 22 janvier 2024 dans les locaux de la Mairie de Gonesse afin de préparer la tenue de l’enquête publique prévue du 29 janvier au 12 février 2024.</w:t>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t>Participants :</w:t>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tab/>
        <w:tab/>
        <w:t xml:space="preserve">Madame Estelle Benoit </w:t>
        <w:tab/>
        <w:t>Directrice de l’Urbanisme de la ville de Gonesse</w:t>
      </w:r>
    </w:p>
    <w:p>
      <w:pPr>
        <w:pStyle w:val="Normal"/>
        <w:spacing w:lineRule="auto" w:line="247" w:before="0" w:after="5"/>
        <w:ind w:left="31" w:firstLine="677"/>
        <w:jc w:val="both"/>
        <w:rPr>
          <w:rFonts w:ascii="Arial" w:hAnsi="Arial" w:eastAsia="Times New Roman" w:cs="Arial"/>
          <w:bCs/>
          <w:iCs/>
          <w:sz w:val="22"/>
        </w:rPr>
      </w:pPr>
      <w:r>
        <w:rPr>
          <w:rFonts w:eastAsia="Times New Roman" w:cs="Arial" w:ascii="Arial" w:hAnsi="Arial"/>
          <w:bCs/>
          <w:iCs/>
          <w:sz w:val="22"/>
        </w:rPr>
        <w:t>Madame Sophie Defouloy     Responsable du service foncier de la ville de Gonesse</w:t>
      </w:r>
    </w:p>
    <w:p>
      <w:pPr>
        <w:pStyle w:val="Normal"/>
        <w:spacing w:lineRule="auto" w:line="247" w:before="0" w:after="5"/>
        <w:ind w:left="31" w:firstLine="677"/>
        <w:jc w:val="both"/>
        <w:rPr>
          <w:rFonts w:ascii="Arial" w:hAnsi="Arial" w:eastAsia="Times New Roman" w:cs="Arial"/>
          <w:bCs/>
          <w:iCs/>
          <w:sz w:val="22"/>
        </w:rPr>
      </w:pPr>
      <w:r>
        <w:rPr>
          <w:rFonts w:eastAsia="Times New Roman" w:cs="Arial" w:ascii="Arial" w:hAnsi="Arial"/>
          <w:bCs/>
          <w:iCs/>
          <w:sz w:val="22"/>
        </w:rPr>
        <w:t xml:space="preserve">Monsieur Eric Seynave </w:t>
        <w:tab/>
        <w:t>Commissaire enquêteur</w:t>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r>
    </w:p>
    <w:p>
      <w:pPr>
        <w:pStyle w:val="Normal"/>
        <w:spacing w:lineRule="auto" w:line="247" w:before="0" w:after="5"/>
        <w:jc w:val="both"/>
        <w:rPr>
          <w:rFonts w:ascii="Arial" w:hAnsi="Arial" w:eastAsia="Times New Roman" w:cs="Arial"/>
          <w:b/>
          <w:b/>
          <w:iCs/>
          <w:sz w:val="22"/>
        </w:rPr>
      </w:pPr>
      <w:r>
        <w:rPr>
          <w:rFonts w:eastAsia="Times New Roman" w:cs="Arial" w:ascii="Arial" w:hAnsi="Arial"/>
          <w:b/>
          <w:iCs/>
          <w:sz w:val="22"/>
        </w:rPr>
        <w:t xml:space="preserve">Analyse de la procédure </w:t>
      </w:r>
    </w:p>
    <w:p>
      <w:pPr>
        <w:pStyle w:val="Normal"/>
        <w:spacing w:lineRule="auto" w:line="247" w:before="0" w:after="5"/>
        <w:jc w:val="both"/>
        <w:rPr>
          <w:rFonts w:ascii="Arial" w:hAnsi="Arial" w:eastAsia="Times New Roman" w:cs="Arial"/>
          <w:b/>
          <w:b/>
          <w:iCs/>
          <w:sz w:val="22"/>
        </w:rPr>
      </w:pPr>
      <w:r>
        <w:rPr>
          <w:rFonts w:eastAsia="Times New Roman" w:cs="Arial" w:ascii="Arial" w:hAnsi="Arial"/>
          <w:b/>
          <w:iCs/>
          <w:sz w:val="22"/>
        </w:rPr>
      </w:r>
    </w:p>
    <w:p>
      <w:pPr>
        <w:pStyle w:val="ListParagraph"/>
        <w:numPr>
          <w:ilvl w:val="0"/>
          <w:numId w:val="16"/>
        </w:numPr>
        <w:spacing w:lineRule="auto" w:line="247" w:before="0" w:after="5"/>
        <w:contextualSpacing/>
        <w:jc w:val="both"/>
        <w:rPr>
          <w:rFonts w:ascii="Arial" w:hAnsi="Arial" w:eastAsia="Times New Roman" w:cs="Arial"/>
          <w:b/>
          <w:b/>
          <w:iCs/>
          <w:sz w:val="22"/>
        </w:rPr>
      </w:pPr>
      <w:r>
        <w:rPr>
          <w:rFonts w:eastAsia="Times New Roman" w:cs="Arial" w:ascii="Arial" w:hAnsi="Arial"/>
          <w:b/>
          <w:iCs/>
          <w:sz w:val="22"/>
        </w:rPr>
        <w:t>Relecture de l’Arrêté et de l’Avis</w:t>
      </w:r>
      <w:r>
        <w:rPr>
          <w:rFonts w:eastAsia="Times New Roman" w:cs="Arial" w:ascii="Arial" w:hAnsi="Arial"/>
          <w:bCs/>
          <w:iCs/>
          <w:sz w:val="22"/>
        </w:rPr>
        <w:t xml:space="preserve"> qui sera publié et affiché,</w:t>
      </w:r>
    </w:p>
    <w:p>
      <w:pPr>
        <w:pStyle w:val="ListParagraph"/>
        <w:numPr>
          <w:ilvl w:val="0"/>
          <w:numId w:val="16"/>
        </w:numPr>
        <w:spacing w:lineRule="auto" w:line="247" w:before="0" w:after="5"/>
        <w:contextualSpacing/>
        <w:jc w:val="both"/>
        <w:rPr>
          <w:rFonts w:ascii="Arial" w:hAnsi="Arial" w:eastAsia="Times New Roman" w:cs="Arial"/>
          <w:b/>
          <w:b/>
          <w:iCs/>
          <w:sz w:val="22"/>
        </w:rPr>
      </w:pPr>
      <w:r>
        <w:rPr>
          <w:rFonts w:eastAsia="Times New Roman" w:cs="Arial" w:ascii="Arial" w:hAnsi="Arial"/>
          <w:b/>
          <w:iCs/>
          <w:sz w:val="22"/>
        </w:rPr>
        <w:t>Confirmation des dates et lieux de permanence</w:t>
      </w:r>
      <w:r>
        <w:rPr>
          <w:rFonts w:eastAsia="Times New Roman" w:cs="Arial" w:ascii="Arial" w:hAnsi="Arial"/>
          <w:bCs/>
          <w:iCs/>
          <w:sz w:val="22"/>
        </w:rPr>
        <w:t> : salle de réunion Urbanisme les 29 janvier et 12 février et bureau de la directrice de l’Urbanisme le 5 février.</w:t>
      </w:r>
    </w:p>
    <w:p>
      <w:pPr>
        <w:pStyle w:val="ListParagraph"/>
        <w:numPr>
          <w:ilvl w:val="0"/>
          <w:numId w:val="16"/>
        </w:numPr>
        <w:spacing w:lineRule="auto" w:line="247" w:before="0" w:after="5"/>
        <w:contextualSpacing/>
        <w:jc w:val="both"/>
        <w:rPr>
          <w:rFonts w:ascii="Arial" w:hAnsi="Arial" w:eastAsia="Times New Roman" w:cs="Arial"/>
          <w:b/>
          <w:b/>
          <w:iCs/>
          <w:sz w:val="22"/>
        </w:rPr>
      </w:pPr>
      <w:r>
        <w:rPr>
          <w:rFonts w:eastAsia="Times New Roman" w:cs="Arial" w:ascii="Arial" w:hAnsi="Arial"/>
          <w:b/>
          <w:iCs/>
          <w:sz w:val="22"/>
        </w:rPr>
        <w:t>Mesures de publicité</w:t>
      </w:r>
      <w:r>
        <w:rPr>
          <w:rFonts w:eastAsia="Times New Roman" w:cs="Arial" w:ascii="Arial" w:hAnsi="Arial"/>
          <w:bCs/>
          <w:iCs/>
          <w:sz w:val="22"/>
        </w:rPr>
        <w:t> : un constat des points d’affichages de l’avis d’enquête sera réalisé par un agent assermenté et remis au commissaire enquêteur. La photocopie des publications faites dans les deux journaux prévus sera remise au commissaire enquêteur. Vérification auprès de la Préfecture du Val d’Oise de la mise à disposition du public des documents prévus sur le site de la Préfecture.</w:t>
      </w:r>
    </w:p>
    <w:p>
      <w:pPr>
        <w:pStyle w:val="ListParagraph"/>
        <w:numPr>
          <w:ilvl w:val="0"/>
          <w:numId w:val="16"/>
        </w:numPr>
        <w:spacing w:lineRule="auto" w:line="247" w:before="0" w:after="5"/>
        <w:contextualSpacing/>
        <w:jc w:val="both"/>
        <w:rPr>
          <w:rFonts w:ascii="Arial" w:hAnsi="Arial" w:eastAsia="Times New Roman" w:cs="Arial"/>
          <w:bCs/>
          <w:iCs/>
          <w:sz w:val="22"/>
        </w:rPr>
      </w:pPr>
      <w:r>
        <w:rPr>
          <w:rFonts w:eastAsia="Times New Roman" w:cs="Arial" w:ascii="Arial" w:hAnsi="Arial"/>
          <w:b/>
          <w:iCs/>
          <w:sz w:val="22"/>
        </w:rPr>
        <w:t>Information des propriétaires expropriés</w:t>
      </w:r>
      <w:r>
        <w:rPr>
          <w:rFonts w:eastAsia="Times New Roman" w:cs="Arial" w:ascii="Arial" w:hAnsi="Arial"/>
          <w:bCs/>
          <w:iCs/>
          <w:sz w:val="22"/>
        </w:rPr>
        <w:t> : il est convenu que les courriers prévus seront remis par huissier aux trois propriétaires concernés. Les preuves de ces dépôts seront remises au commissaire enquêteur ainsi que la preuve de toutes les acquisitions amiables obtenues à ce jour.</w:t>
      </w:r>
    </w:p>
    <w:p>
      <w:pPr>
        <w:pStyle w:val="ListParagraph"/>
        <w:numPr>
          <w:ilvl w:val="0"/>
          <w:numId w:val="16"/>
        </w:numPr>
        <w:spacing w:lineRule="auto" w:line="247" w:before="0" w:after="5"/>
        <w:contextualSpacing/>
        <w:jc w:val="both"/>
        <w:rPr>
          <w:rFonts w:ascii="Arial" w:hAnsi="Arial" w:eastAsia="Times New Roman" w:cs="Arial"/>
          <w:bCs/>
          <w:iCs/>
          <w:sz w:val="22"/>
        </w:rPr>
      </w:pPr>
      <w:r>
        <w:rPr>
          <w:rFonts w:eastAsia="Times New Roman" w:cs="Arial" w:ascii="Arial" w:hAnsi="Arial"/>
          <w:b/>
          <w:iCs/>
          <w:sz w:val="22"/>
        </w:rPr>
        <w:t xml:space="preserve">Mission du commissaire enquêteur : </w:t>
      </w:r>
      <w:r>
        <w:rPr>
          <w:rFonts w:eastAsia="Times New Roman" w:cs="Arial" w:ascii="Arial" w:hAnsi="Arial"/>
          <w:bCs/>
          <w:iCs/>
          <w:sz w:val="22"/>
        </w:rPr>
        <w:t>les conditions requises pour la clôture de l’enquête sont précisées (signatures et paraphes des registres – dossier DUP par le commissaire enquêteur et dossier Parcellaire par le Maire de Gonesse), ainsi que le délais de remise des registres au commissaire enquêteur et de remise de son rapport et de ses conclusions motivées à la Préfecture du Val d’Oise.</w:t>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t>Un compte rendu de cette réunion a été rédigé par le commissaire enquêteur et adressé le 23 janvier 2024, via internet, à l’adresse des participants (copie jointe en annexe du rapport).</w:t>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r>
    </w:p>
    <w:p>
      <w:pPr>
        <w:pStyle w:val="Normal"/>
        <w:spacing w:lineRule="auto" w:line="247" w:before="0" w:after="5"/>
        <w:jc w:val="both"/>
        <w:rPr>
          <w:rFonts w:ascii="Arial" w:hAnsi="Arial" w:eastAsia="Times New Roman" w:cs="Arial"/>
          <w:b/>
          <w:b/>
          <w:iCs/>
          <w:sz w:val="22"/>
        </w:rPr>
      </w:pPr>
      <w:r>
        <w:rPr>
          <w:rFonts w:eastAsia="Times New Roman" w:cs="Arial" w:ascii="Arial" w:hAnsi="Arial"/>
          <w:b/>
          <w:iCs/>
          <w:sz w:val="22"/>
        </w:rPr>
        <w:t>Visite des lieux</w:t>
      </w:r>
    </w:p>
    <w:p>
      <w:pPr>
        <w:pStyle w:val="Normal"/>
        <w:spacing w:lineRule="auto" w:line="247" w:before="0" w:after="5"/>
        <w:jc w:val="both"/>
        <w:rPr>
          <w:rFonts w:ascii="Arial" w:hAnsi="Arial" w:eastAsia="Times New Roman" w:cs="Arial"/>
          <w:b/>
          <w:b/>
          <w:iCs/>
          <w:sz w:val="22"/>
        </w:rPr>
      </w:pPr>
      <w:r>
        <w:rPr>
          <w:rFonts w:eastAsia="Times New Roman" w:cs="Arial" w:ascii="Arial" w:hAnsi="Arial"/>
          <w:b/>
          <w:iCs/>
          <w:sz w:val="22"/>
        </w:rPr>
      </w:r>
    </w:p>
    <w:p>
      <w:pPr>
        <w:pStyle w:val="Normal"/>
        <w:spacing w:lineRule="auto" w:line="247" w:before="0" w:after="5"/>
        <w:jc w:val="both"/>
        <w:rPr>
          <w:rFonts w:ascii="Arial" w:hAnsi="Arial" w:eastAsia="Times New Roman" w:cs="Arial"/>
          <w:bCs/>
          <w:iCs/>
          <w:sz w:val="22"/>
        </w:rPr>
      </w:pPr>
      <w:r>
        <w:rPr>
          <w:rFonts w:eastAsia="Times New Roman" w:cs="Arial" w:ascii="Arial" w:hAnsi="Arial"/>
          <w:b/>
          <w:iCs/>
          <w:sz w:val="22"/>
        </w:rPr>
        <w:tab/>
        <w:tab/>
      </w:r>
      <w:r>
        <w:rPr>
          <w:rFonts w:eastAsia="Times New Roman" w:cs="Arial" w:ascii="Arial" w:hAnsi="Arial"/>
          <w:bCs/>
          <w:iCs/>
          <w:sz w:val="22"/>
        </w:rPr>
        <w:t>A la suite de cette réunion, une visite des lieux a été organisée.</w:t>
      </w:r>
    </w:p>
    <w:p>
      <w:pPr>
        <w:pStyle w:val="Normal"/>
        <w:rPr>
          <w:rFonts w:ascii="Arial" w:hAnsi="Arial" w:cs="Arial"/>
          <w:sz w:val="22"/>
        </w:rPr>
      </w:pPr>
      <w:r>
        <w:rPr>
          <w:rFonts w:cs="Arial" w:ascii="Arial" w:hAnsi="Arial"/>
          <w:sz w:val="22"/>
        </w:rPr>
        <w:t xml:space="preserve">Porte d’entrée du territoire depuis Arnouville et Villiers-le-Bel, le site, fait partie du quartier dit « des Marronniers » qui se compose d’environ mille deux cents logements, essentiellement de maisons individuelles. L’urbanisation du quartier s’est caractérisée par la juxtaposition de plusieurs programmes immobiliers. </w:t>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t>Situé au Nord Ouest de la ville, ce quartier est délimité :</w:t>
      </w:r>
    </w:p>
    <w:p>
      <w:pPr>
        <w:pStyle w:val="ListParagraph"/>
        <w:numPr>
          <w:ilvl w:val="0"/>
          <w:numId w:val="17"/>
        </w:numPr>
        <w:spacing w:lineRule="auto" w:line="247" w:before="0" w:after="5"/>
        <w:contextualSpacing/>
        <w:jc w:val="both"/>
        <w:rPr>
          <w:rFonts w:ascii="Arial" w:hAnsi="Arial" w:eastAsia="Times New Roman" w:cs="Arial"/>
          <w:bCs/>
          <w:iCs/>
          <w:sz w:val="22"/>
        </w:rPr>
      </w:pPr>
      <w:r>
        <w:rPr>
          <w:rFonts w:eastAsia="Times New Roman" w:cs="Arial" w:ascii="Arial" w:hAnsi="Arial"/>
          <w:bCs/>
          <w:iCs/>
          <w:sz w:val="22"/>
        </w:rPr>
        <w:t>à l’Est par l’avenue Georges Kerdavid  (D 970) qui donne sur des terrains agricoles et un espace boisé,</w:t>
      </w:r>
    </w:p>
    <w:p>
      <w:pPr>
        <w:pStyle w:val="ListParagraph"/>
        <w:numPr>
          <w:ilvl w:val="0"/>
          <w:numId w:val="17"/>
        </w:numPr>
        <w:spacing w:lineRule="auto" w:line="247" w:before="0" w:after="5"/>
        <w:contextualSpacing/>
        <w:jc w:val="both"/>
        <w:rPr>
          <w:rFonts w:ascii="Arial" w:hAnsi="Arial" w:eastAsia="Times New Roman" w:cs="Arial"/>
          <w:bCs/>
          <w:iCs/>
          <w:sz w:val="22"/>
        </w:rPr>
      </w:pPr>
      <w:r>
        <w:rPr>
          <w:rFonts w:eastAsia="Times New Roman" w:cs="Arial" w:ascii="Arial" w:hAnsi="Arial"/>
          <w:bCs/>
          <w:iCs/>
          <w:sz w:val="22"/>
        </w:rPr>
        <w:t>au Nord par l’avenue des Jasmins située le long de la ligne du RER D, qui le sépare d’un vaste ensemble de logements sociaux dit « La Fauconnière ».</w:t>
      </w:r>
    </w:p>
    <w:p>
      <w:pPr>
        <w:pStyle w:val="ListParagraph"/>
        <w:numPr>
          <w:ilvl w:val="0"/>
          <w:numId w:val="17"/>
        </w:numPr>
        <w:spacing w:lineRule="auto" w:line="247" w:before="0" w:after="5"/>
        <w:contextualSpacing/>
        <w:jc w:val="both"/>
        <w:rPr>
          <w:rFonts w:ascii="Arial" w:hAnsi="Arial" w:eastAsia="Times New Roman" w:cs="Arial"/>
          <w:bCs/>
          <w:iCs/>
          <w:sz w:val="22"/>
        </w:rPr>
      </w:pPr>
      <w:r>
        <w:rPr>
          <w:rFonts w:eastAsia="Times New Roman" w:cs="Arial" w:ascii="Arial" w:hAnsi="Arial"/>
          <w:bCs/>
          <w:iCs/>
          <w:sz w:val="22"/>
        </w:rPr>
        <w:t>au Sud par l’avenue Gabriel Péri (D 370).</w:t>
      </w:r>
    </w:p>
    <w:p>
      <w:pPr>
        <w:pStyle w:val="ListParagraph"/>
        <w:spacing w:lineRule="auto" w:line="247" w:before="0" w:after="5"/>
        <w:ind w:left="1416" w:hanging="0"/>
        <w:contextualSpacing/>
        <w:jc w:val="both"/>
        <w:rPr>
          <w:rFonts w:ascii="Arial" w:hAnsi="Arial" w:eastAsia="Times New Roman" w:cs="Arial"/>
          <w:bCs/>
          <w:iCs/>
          <w:sz w:val="22"/>
        </w:rPr>
      </w:pPr>
      <w:r>
        <w:rPr/>
        <w:drawing>
          <wp:inline distT="0" distB="0" distL="0" distR="0">
            <wp:extent cx="3762375" cy="2162810"/>
            <wp:effectExtent l="0" t="0" r="0" b="0"/>
            <wp:docPr id="14" name="Image 1827731423" descr="Une image contenant carte, Photographie aérienne, Vue plongeante, aérie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827731423" descr="Une image contenant carte, Photographie aérienne, Vue plongeante, aérien&#10;&#10;Description générée automatiquement"/>
                    <pic:cNvPicPr>
                      <a:picLocks noChangeAspect="1" noChangeArrowheads="1"/>
                    </pic:cNvPicPr>
                  </pic:nvPicPr>
                  <pic:blipFill>
                    <a:blip r:embed="rId19"/>
                    <a:stretch>
                      <a:fillRect/>
                    </a:stretch>
                  </pic:blipFill>
                  <pic:spPr bwMode="auto">
                    <a:xfrm>
                      <a:off x="0" y="0"/>
                      <a:ext cx="3762375" cy="2162810"/>
                    </a:xfrm>
                    <a:prstGeom prst="rect">
                      <a:avLst/>
                    </a:prstGeom>
                  </pic:spPr>
                </pic:pic>
              </a:graphicData>
            </a:graphic>
          </wp:inline>
        </w:drawing>
      </w:r>
    </w:p>
    <w:p>
      <w:pPr>
        <w:pStyle w:val="Normal"/>
        <w:spacing w:lineRule="auto" w:line="247" w:before="0" w:after="5"/>
        <w:ind w:left="751" w:hanging="10"/>
        <w:jc w:val="both"/>
        <w:rPr>
          <w:rFonts w:ascii="Arial" w:hAnsi="Arial" w:eastAsia="Times New Roman" w:cs="Arial"/>
          <w:bCs/>
          <w:iCs/>
          <w:sz w:val="22"/>
        </w:rPr>
      </w:pPr>
      <w:r>
        <w:rPr>
          <w:rFonts w:eastAsia="Times New Roman" w:cs="Arial" w:ascii="Arial" w:hAnsi="Arial"/>
          <w:bCs/>
          <w:iCs/>
          <w:sz w:val="22"/>
        </w:rPr>
        <w:t xml:space="preserve">    </w:t>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t xml:space="preserve">L’espace concerné par l’enquête et destiné à recevoir le futur lotissement, ainsi que les aménagements d’espaces verts et sportifs, est situé à l’extrême Nord Est du quartier dit   </w:t>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t>« Les Marronniers », à proximité de la ligne du RER D et de terrains agricoles protégés.</w:t>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r>
    </w:p>
    <w:p>
      <w:pPr>
        <w:pStyle w:val="Normal"/>
        <w:spacing w:lineRule="auto" w:line="247" w:before="0" w:after="5"/>
        <w:ind w:left="0" w:hanging="0"/>
        <w:jc w:val="both"/>
        <w:rPr>
          <w:rFonts w:ascii="Arial" w:hAnsi="Arial" w:eastAsia="Times New Roman" w:cs="Arial"/>
          <w:bCs/>
          <w:iCs/>
          <w:sz w:val="22"/>
        </w:rPr>
      </w:pPr>
      <w:r>
        <w:rPr/>
        <mc:AlternateContent>
          <mc:Choice Requires="wpg">
            <w:drawing>
              <wp:inline distT="0" distB="3175" distL="635" distR="635" wp14:anchorId="074BCCB7">
                <wp:extent cx="5464175" cy="3171825"/>
                <wp:effectExtent l="0" t="0" r="0" b="3175"/>
                <wp:docPr id="15" name="Forme3"/>
                <a:graphic xmlns:a="http://schemas.openxmlformats.org/drawingml/2006/main">
                  <a:graphicData uri="http://schemas.microsoft.com/office/word/2010/wordprocessingGroup">
                    <wpg:wgp>
                      <wpg:cNvGrpSpPr/>
                      <wpg:grpSpPr>
                        <a:xfrm>
                          <a:off x="0" y="0"/>
                          <a:ext cx="5463720" cy="3171240"/>
                          <a:chOff x="0" y="-3174840"/>
                          <a:chExt cx="5463720" cy="3171240"/>
                        </a:xfrm>
                      </wpg:grpSpPr>
                      <pic:pic xmlns:pic="http://schemas.openxmlformats.org/drawingml/2006/picture">
                        <pic:nvPicPr>
                          <pic:cNvPr id="5" name="Image 13" descr=""/>
                          <pic:cNvPicPr/>
                        </pic:nvPicPr>
                        <pic:blipFill>
                          <a:blip r:embed="rId20"/>
                          <a:stretch/>
                        </pic:blipFill>
                        <pic:spPr>
                          <a:xfrm>
                            <a:off x="0" y="0"/>
                            <a:ext cx="5463720" cy="3171240"/>
                          </a:xfrm>
                          <a:prstGeom prst="rect">
                            <a:avLst/>
                          </a:prstGeom>
                          <a:ln w="0">
                            <a:noFill/>
                          </a:ln>
                        </pic:spPr>
                      </pic:pic>
                      <wps:wsp>
                        <wps:cNvSpPr/>
                        <wps:spPr>
                          <a:xfrm>
                            <a:off x="2192040" y="567000"/>
                            <a:ext cx="318600" cy="280800"/>
                          </a:xfrm>
                          <a:custGeom>
                            <a:avLst/>
                            <a:gdLst/>
                            <a:ahLst/>
                            <a:rect l="l" t="t" r="r" b="b"/>
                            <a:pathLst>
                              <a:path w="128588" h="150019">
                                <a:moveTo>
                                  <a:pt x="0" y="69056"/>
                                </a:moveTo>
                                <a:lnTo>
                                  <a:pt x="128588" y="0"/>
                                </a:lnTo>
                                <a:lnTo>
                                  <a:pt x="107157" y="150019"/>
                                </a:ln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wps:style>
                        <wps:bodyPr/>
                      </wps:wsp>
                      <wps:wsp>
                        <wps:cNvSpPr/>
                        <wps:spPr>
                          <a:xfrm rot="17100000">
                            <a:off x="2521080" y="658440"/>
                            <a:ext cx="240840" cy="371520"/>
                          </a:xfrm>
                          <a:custGeom>
                            <a:avLst/>
                            <a:gdLst/>
                            <a:ahLst/>
                            <a:rect l="l" t="t" r="r" b="b"/>
                            <a:pathLst>
                              <a:path w="128588" h="150019">
                                <a:moveTo>
                                  <a:pt x="0" y="69056"/>
                                </a:moveTo>
                                <a:lnTo>
                                  <a:pt x="128588" y="0"/>
                                </a:lnTo>
                                <a:lnTo>
                                  <a:pt x="107157" y="150019"/>
                                </a:ln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wps:style>
                        <wps:bodyPr/>
                      </wps:wsp>
                      <wps:wsp>
                        <wps:cNvSpPr/>
                        <wps:spPr>
                          <a:xfrm>
                            <a:off x="2351520" y="345960"/>
                            <a:ext cx="224280" cy="318240"/>
                          </a:xfrm>
                          <a:prstGeom prst="rect">
                            <a:avLst/>
                          </a:prstGeom>
                          <a:noFill/>
                          <a:ln w="0">
                            <a:noFill/>
                          </a:ln>
                        </wps:spPr>
                        <wps:style>
                          <a:lnRef idx="0"/>
                          <a:fillRef idx="0"/>
                          <a:effectRef idx="0"/>
                          <a:fontRef idx="minor"/>
                        </wps:style>
                        <wps:bodyPr/>
                      </wps:wsp>
                      <wps:wsp>
                        <wps:cNvSpPr/>
                        <wps:spPr>
                          <a:xfrm>
                            <a:off x="2576160" y="496080"/>
                            <a:ext cx="224280" cy="318240"/>
                          </a:xfrm>
                          <a:prstGeom prst="rect">
                            <a:avLst/>
                          </a:prstGeom>
                          <a:noFill/>
                          <a:ln w="0">
                            <a:noFill/>
                          </a:ln>
                        </wps:spPr>
                        <wps:style>
                          <a:lnRef idx="0"/>
                          <a:fillRef idx="0"/>
                          <a:effectRef idx="0"/>
                          <a:fontRef idx="minor"/>
                        </wps:style>
                        <wps:bodyPr/>
                      </wps:wsp>
                    </wpg:wgp>
                  </a:graphicData>
                </a:graphic>
              </wp:inline>
            </w:drawing>
          </mc:Choice>
          <mc:Fallback>
            <w:pict>
              <v:group id="shape_0" alt="Forme3" style="position:absolute;margin-left:0pt;margin-top:-250pt;width:430.2pt;height:249.7pt" coordorigin="0,-5000" coordsize="8604,4994">
                <v:shape id="shape_0" ID="Image 13" stroked="f" style="position:absolute;left:0;top:-5000;width:8603;height:4993;mso-wrap-style:none;v-text-anchor:middle;mso-position-vertical:top" type="shapetype_75">
                  <v:imagedata r:id="rId20" o:detectmouseclick="t"/>
                  <v:stroke color="#3465a4" joinstyle="round" endcap="flat"/>
                  <w10:wrap type="square"/>
                </v:shape>
                <v:rect id="shape_0" ID="ZoneTexte 13" path="m0,0l-2147483645,0l-2147483645,-2147483646l0,-2147483646xe" stroked="f" style="position:absolute;left:3703;top:-4455;width:352;height:500;mso-wrap-style:none;v-text-anchor:middle;mso-position-vertical:top">
                  <v:fill o:detectmouseclick="t" on="false"/>
                  <v:stroke color="#3465a4" joinstyle="round" endcap="flat"/>
                </v:rect>
                <v:rect id="shape_0" ID="ZoneTexte 14" path="m0,0l-2147483645,0l-2147483645,-2147483646l0,-2147483646xe" stroked="f" style="position:absolute;left:4057;top:-4219;width:352;height:500;mso-wrap-style:none;v-text-anchor:middle;mso-position-vertical:top">
                  <v:fill o:detectmouseclick="t" on="false"/>
                  <v:stroke color="#3465a4" joinstyle="round" endcap="flat"/>
                </v:rect>
              </v:group>
            </w:pict>
          </mc:Fallback>
        </mc:AlternateContent>
      </w:r>
    </w:p>
    <w:p>
      <w:pPr>
        <w:pStyle w:val="Normal"/>
        <w:spacing w:lineRule="auto" w:line="247" w:before="0" w:after="5"/>
        <w:jc w:val="both"/>
        <w:rPr>
          <w:rFonts w:ascii="Arial" w:hAnsi="Arial" w:eastAsia="Times New Roman" w:cs="Arial"/>
          <w:b/>
          <w:b/>
          <w:iCs/>
          <w:sz w:val="22"/>
        </w:rPr>
      </w:pPr>
      <w:r>
        <w:rPr>
          <w:rFonts w:eastAsia="Times New Roman" w:cs="Arial" w:ascii="Arial" w:hAnsi="Arial"/>
          <w:b/>
          <w:iCs/>
          <w:sz w:val="22"/>
        </w:rPr>
      </w:r>
    </w:p>
    <w:p>
      <w:pPr>
        <w:pStyle w:val="Normal"/>
        <w:spacing w:lineRule="auto" w:line="247" w:before="0" w:after="5"/>
        <w:jc w:val="both"/>
        <w:rPr>
          <w:rFonts w:ascii="Arial" w:hAnsi="Arial" w:eastAsia="Times New Roman" w:cs="Arial"/>
          <w:bCs/>
          <w:i/>
          <w:i/>
          <w:sz w:val="22"/>
        </w:rPr>
      </w:pPr>
      <w:r>
        <w:rPr>
          <w:rFonts w:eastAsia="Times New Roman" w:cs="Arial" w:ascii="Arial" w:hAnsi="Arial"/>
          <w:bCs/>
          <w:i/>
          <w:sz w:val="22"/>
        </w:rPr>
        <w:t>Photo du site (axes de prise de vue des 4 photos p 18)</w:t>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t>Il se situe donc le long de l’avenue des Jasmins dont l’opération porte le nom. A noter que cette avenue permet de rejoindre en ¼ h à pied la gare « Villers le Bel- Gonesse Arnouville » du RER D, située à 1300 mètres.</w:t>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r>
    </w:p>
    <w:p>
      <w:pPr>
        <w:pStyle w:val="Normal"/>
        <w:spacing w:lineRule="auto" w:line="247" w:before="0" w:after="5"/>
        <w:jc w:val="both"/>
        <w:rPr>
          <w:rFonts w:ascii="Arial" w:hAnsi="Arial" w:eastAsia="Times New Roman" w:cs="Arial"/>
          <w:bCs/>
          <w:iCs/>
          <w:sz w:val="22"/>
        </w:rPr>
      </w:pPr>
      <w:r>
        <w:rPr/>
        <w:drawing>
          <wp:inline distT="0" distB="0" distL="0" distR="0">
            <wp:extent cx="2462530" cy="2462530"/>
            <wp:effectExtent l="0" t="0" r="0" b="0"/>
            <wp:docPr id="16" name="Imag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7" descr=""/>
                    <pic:cNvPicPr>
                      <a:picLocks noChangeAspect="1" noChangeArrowheads="1"/>
                    </pic:cNvPicPr>
                  </pic:nvPicPr>
                  <pic:blipFill>
                    <a:blip r:embed="rId21"/>
                    <a:stretch>
                      <a:fillRect/>
                    </a:stretch>
                  </pic:blipFill>
                  <pic:spPr bwMode="auto">
                    <a:xfrm>
                      <a:off x="0" y="0"/>
                      <a:ext cx="2462530" cy="2462530"/>
                    </a:xfrm>
                    <a:prstGeom prst="rect">
                      <a:avLst/>
                    </a:prstGeom>
                  </pic:spPr>
                </pic:pic>
              </a:graphicData>
            </a:graphic>
          </wp:inline>
        </w:drawing>
      </w:r>
      <w:r>
        <w:rPr/>
        <w:drawing>
          <wp:inline distT="0" distB="0" distL="0" distR="0">
            <wp:extent cx="2967990" cy="2430780"/>
            <wp:effectExtent l="0" t="0" r="0" b="0"/>
            <wp:docPr id="17" name="Imag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8" descr=""/>
                    <pic:cNvPicPr>
                      <a:picLocks noChangeAspect="1" noChangeArrowheads="1"/>
                    </pic:cNvPicPr>
                  </pic:nvPicPr>
                  <pic:blipFill>
                    <a:blip r:embed="rId22"/>
                    <a:stretch>
                      <a:fillRect/>
                    </a:stretch>
                  </pic:blipFill>
                  <pic:spPr bwMode="auto">
                    <a:xfrm>
                      <a:off x="0" y="0"/>
                      <a:ext cx="2967990" cy="2430780"/>
                    </a:xfrm>
                    <a:prstGeom prst="rect">
                      <a:avLst/>
                    </a:prstGeom>
                  </pic:spPr>
                </pic:pic>
              </a:graphicData>
            </a:graphic>
          </wp:inline>
        </w:drawing>
      </w:r>
    </w:p>
    <w:p>
      <w:pPr>
        <w:pStyle w:val="Normal"/>
        <w:spacing w:lineRule="auto" w:line="247" w:before="0" w:after="5"/>
        <w:jc w:val="both"/>
        <w:rPr>
          <w:rFonts w:ascii="Arial" w:hAnsi="Arial" w:eastAsia="Times New Roman" w:cs="Arial"/>
          <w:bCs/>
          <w:i/>
          <w:i/>
          <w:sz w:val="22"/>
        </w:rPr>
      </w:pPr>
      <w:r>
        <w:rPr>
          <w:rFonts w:eastAsia="Times New Roman" w:cs="Arial" w:ascii="Arial" w:hAnsi="Arial"/>
          <w:bCs/>
          <w:i/>
          <w:sz w:val="22"/>
        </w:rPr>
        <w:t>Vue 1</w:t>
        <w:tab/>
        <w:tab/>
        <w:tab/>
        <w:tab/>
        <w:tab/>
        <w:tab/>
        <w:t>Vue 2</w:t>
      </w:r>
    </w:p>
    <w:p>
      <w:pPr>
        <w:pStyle w:val="Normal"/>
        <w:spacing w:lineRule="auto" w:line="247" w:before="0" w:after="5"/>
        <w:jc w:val="both"/>
        <w:rPr>
          <w:rFonts w:ascii="Arial" w:hAnsi="Arial" w:eastAsia="Times New Roman" w:cs="Arial"/>
          <w:bCs/>
          <w:i/>
          <w:i/>
          <w:sz w:val="22"/>
        </w:rPr>
      </w:pPr>
      <w:r>
        <w:rPr/>
        <mc:AlternateContent>
          <mc:Choice Requires="wps">
            <w:drawing>
              <wp:inline distT="0" distB="0" distL="0" distR="0" wp14:anchorId="54124CCC">
                <wp:extent cx="305435" cy="305435"/>
                <wp:effectExtent l="0" t="0" r="0" b="0"/>
                <wp:docPr id="18" name="Forme4"/>
                <a:graphic xmlns:a="http://schemas.openxmlformats.org/drawingml/2006/main">
                  <a:graphicData uri="http://schemas.microsoft.com/office/word/2010/wordprocessingShape">
                    <wps:wsp>
                      <wps:cNvSpPr/>
                      <wps:spPr>
                        <a:xfrm>
                          <a:off x="0" y="0"/>
                          <a:ext cx="304920" cy="304920"/>
                        </a:xfrm>
                        <a:prstGeom prst="rect">
                          <a:avLst/>
                        </a:prstGeom>
                        <a:noFill/>
                        <a:ln w="0">
                          <a:noFill/>
                        </a:ln>
                      </wps:spPr>
                      <wps:style>
                        <a:lnRef idx="0"/>
                        <a:fillRef idx="0"/>
                        <a:effectRef idx="0"/>
                        <a:fontRef idx="minor"/>
                      </wps:style>
                      <wps:bodyPr/>
                    </wps:wsp>
                  </a:graphicData>
                </a:graphic>
              </wp:inline>
            </w:drawing>
          </mc:Choice>
          <mc:Fallback>
            <w:pict>
              <v:rect id="shape_0" ID="Forme4" path="m0,0l-2147483645,0l-2147483645,-2147483646l0,-2147483646xe" stroked="f" style="position:absolute;margin-left:0pt;margin-top:-24.05pt;width:23.95pt;height:23.95pt;mso-wrap-style:none;v-text-anchor:middle;mso-position-vertical:top" wp14:anchorId="54124CCC">
                <v:fill o:detectmouseclick="t" on="false"/>
                <v:stroke color="#3465a4" joinstyle="round" endcap="flat"/>
                <w10:wrap type="square"/>
              </v:rect>
            </w:pict>
          </mc:Fallback>
        </mc:AlternateContent>
      </w:r>
    </w:p>
    <w:p>
      <w:pPr>
        <w:pStyle w:val="Normal"/>
        <w:spacing w:lineRule="auto" w:line="247" w:before="0" w:after="5"/>
        <w:jc w:val="both"/>
        <w:rPr>
          <w:rFonts w:ascii="Arial" w:hAnsi="Arial" w:eastAsia="Times New Roman" w:cs="Arial"/>
          <w:bCs/>
          <w:i/>
          <w:i/>
          <w:sz w:val="22"/>
        </w:rPr>
      </w:pPr>
      <w:r>
        <w:rPr/>
        <w:drawing>
          <wp:inline distT="0" distB="0" distL="0" distR="0">
            <wp:extent cx="2463800" cy="1550035"/>
            <wp:effectExtent l="0" t="0" r="0" b="0"/>
            <wp:docPr id="19" name="Imag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1" descr=""/>
                    <pic:cNvPicPr>
                      <a:picLocks noChangeAspect="1" noChangeArrowheads="1"/>
                    </pic:cNvPicPr>
                  </pic:nvPicPr>
                  <pic:blipFill>
                    <a:blip r:embed="rId23"/>
                    <a:srcRect l="0" t="6134" r="0" b="10663"/>
                    <a:stretch>
                      <a:fillRect/>
                    </a:stretch>
                  </pic:blipFill>
                  <pic:spPr bwMode="auto">
                    <a:xfrm>
                      <a:off x="0" y="0"/>
                      <a:ext cx="2463800" cy="1550035"/>
                    </a:xfrm>
                    <a:prstGeom prst="rect">
                      <a:avLst/>
                    </a:prstGeom>
                  </pic:spPr>
                </pic:pic>
              </a:graphicData>
            </a:graphic>
          </wp:inline>
        </w:drawing>
      </w:r>
      <w:r>
        <w:rPr/>
        <w:drawing>
          <wp:inline distT="0" distB="0" distL="0" distR="0">
            <wp:extent cx="3132455" cy="1550035"/>
            <wp:effectExtent l="0" t="0" r="0" b="0"/>
            <wp:docPr id="20" name="Imag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0" descr=""/>
                    <pic:cNvPicPr>
                      <a:picLocks noChangeAspect="1" noChangeArrowheads="1"/>
                    </pic:cNvPicPr>
                  </pic:nvPicPr>
                  <pic:blipFill>
                    <a:blip r:embed="rId24"/>
                    <a:stretch>
                      <a:fillRect/>
                    </a:stretch>
                  </pic:blipFill>
                  <pic:spPr bwMode="auto">
                    <a:xfrm>
                      <a:off x="0" y="0"/>
                      <a:ext cx="3132455" cy="1550035"/>
                    </a:xfrm>
                    <a:prstGeom prst="rect">
                      <a:avLst/>
                    </a:prstGeom>
                  </pic:spPr>
                </pic:pic>
              </a:graphicData>
            </a:graphic>
          </wp:inline>
        </w:drawing>
      </w:r>
    </w:p>
    <w:p>
      <w:pPr>
        <w:pStyle w:val="Normal"/>
        <w:spacing w:lineRule="auto" w:line="247" w:before="0" w:after="5"/>
        <w:jc w:val="both"/>
        <w:rPr>
          <w:rFonts w:ascii="Arial" w:hAnsi="Arial" w:eastAsia="Times New Roman" w:cs="Arial"/>
          <w:bCs/>
          <w:i/>
          <w:i/>
          <w:sz w:val="22"/>
        </w:rPr>
      </w:pPr>
      <w:r>
        <w:rPr>
          <w:rFonts w:eastAsia="Times New Roman" w:cs="Arial" w:ascii="Arial" w:hAnsi="Arial"/>
          <w:bCs/>
          <w:i/>
          <w:sz w:val="22"/>
        </w:rPr>
        <w:t>Vue 3</w:t>
        <w:tab/>
        <w:tab/>
        <w:tab/>
        <w:tab/>
        <w:tab/>
        <w:tab/>
        <w:t>Vue 4</w:t>
      </w:r>
    </w:p>
    <w:p>
      <w:pPr>
        <w:pStyle w:val="Normal"/>
        <w:spacing w:lineRule="auto" w:line="247" w:before="0" w:after="5"/>
        <w:ind w:left="0" w:hanging="0"/>
        <w:jc w:val="both"/>
        <w:rPr>
          <w:rFonts w:ascii="Arial" w:hAnsi="Arial" w:eastAsia="Times New Roman" w:cs="Arial"/>
          <w:bCs/>
          <w:i/>
          <w:i/>
          <w:sz w:val="22"/>
        </w:rPr>
      </w:pPr>
      <w:r>
        <w:rPr>
          <w:rFonts w:eastAsia="Times New Roman" w:cs="Arial" w:ascii="Arial" w:hAnsi="Arial"/>
          <w:bCs/>
          <w:i/>
          <w:sz w:val="22"/>
        </w:rPr>
      </w:r>
    </w:p>
    <w:p>
      <w:pPr>
        <w:pStyle w:val="Normal"/>
        <w:spacing w:lineRule="auto" w:line="247" w:before="0" w:after="5"/>
        <w:ind w:left="0" w:hanging="0"/>
        <w:jc w:val="both"/>
        <w:rPr>
          <w:rFonts w:ascii="Arial" w:hAnsi="Arial" w:eastAsia="Times New Roman" w:cs="Arial"/>
          <w:bCs/>
          <w:iCs/>
          <w:sz w:val="22"/>
        </w:rPr>
      </w:pPr>
      <w:r>
        <w:rPr>
          <w:rFonts w:eastAsia="Times New Roman" w:cs="Arial" w:ascii="Arial" w:hAnsi="Arial"/>
          <w:bCs/>
          <w:iCs/>
          <w:sz w:val="22"/>
        </w:rPr>
        <w:t xml:space="preserve">Les espaces verts, plantés lors de l’aménagement du quartier à sa création, sont aujourd’hui à l’état de friches, compte tenu de l’absence d’entretien par les copropriétaires, membres de l’ASL </w:t>
      </w:r>
      <w:r>
        <w:rPr>
          <w:rFonts w:eastAsia="Times New Roman" w:cs="Arial" w:ascii="Arial" w:hAnsi="Arial"/>
          <w:bCs/>
          <w:i/>
          <w:sz w:val="22"/>
        </w:rPr>
        <w:t>« Claire Vallée »</w:t>
      </w:r>
      <w:r>
        <w:rPr>
          <w:rFonts w:eastAsia="Times New Roman" w:cs="Arial" w:ascii="Arial" w:hAnsi="Arial"/>
          <w:bCs/>
          <w:iCs/>
          <w:sz w:val="22"/>
        </w:rPr>
        <w:t>. Ils peuvent être considérés comme des terrains délaissés.</w:t>
      </w:r>
    </w:p>
    <w:p>
      <w:pPr>
        <w:pStyle w:val="Normal"/>
        <w:spacing w:lineRule="auto" w:line="247" w:before="0" w:after="5"/>
        <w:ind w:left="0" w:hanging="0"/>
        <w:jc w:val="both"/>
        <w:rPr/>
      </w:pPr>
      <w:r>
        <w:rPr>
          <w:rFonts w:eastAsia="Times New Roman" w:cs="Arial" w:ascii="Arial" w:hAnsi="Arial"/>
          <w:bCs/>
          <w:iCs/>
          <w:sz w:val="22"/>
        </w:rPr>
        <w:t xml:space="preserve">                                                </w:t>
      </w:r>
      <w:r>
        <w:rPr/>
        <mc:AlternateContent>
          <mc:Choice Requires="wps">
            <w:drawing>
              <wp:inline distT="0" distB="0" distL="0" distR="0" wp14:anchorId="3873084A">
                <wp:extent cx="2550795" cy="1913255"/>
                <wp:effectExtent l="1270" t="0" r="4445" b="4445"/>
                <wp:docPr id="21" name="Image 6" descr="Une image contenant plein air, arbre, plante, eau&#10;&#10;Description générée automatiquement"/>
                <a:graphic xmlns:a="http://schemas.openxmlformats.org/drawingml/2006/main">
                  <a:graphicData uri="http://schemas.openxmlformats.org/drawingml/2006/picture">
                    <pic:pic xmlns:pic="http://schemas.openxmlformats.org/drawingml/2006/picture">
                      <pic:nvPicPr>
                        <pic:cNvPr id="6" name="Image 6" descr="Une image contenant plein air, arbre, plante, eau&#10;&#10;Description générée automatiquement"/>
                        <pic:cNvPicPr/>
                      </pic:nvPicPr>
                      <pic:blipFill>
                        <a:blip r:embed="rId25"/>
                        <a:stretch/>
                      </pic:blipFill>
                      <pic:spPr>
                        <a:xfrm rot="5400000">
                          <a:off x="0" y="0"/>
                          <a:ext cx="2550240" cy="1912680"/>
                        </a:xfrm>
                        <a:prstGeom prst="rect">
                          <a:avLst/>
                        </a:prstGeom>
                        <a:ln w="0">
                          <a:noFill/>
                        </a:ln>
                      </pic:spPr>
                    </pic:pic>
                  </a:graphicData>
                </a:graphic>
              </wp:inline>
            </w:drawing>
          </mc:Choice>
          <mc:Fallback>
            <w:pict>
              <v:shape id="shape_0" ID="Image 6" stroked="f" style="position:absolute;margin-left:-25.05pt;margin-top:-175.75pt;width:200.75pt;height:150.55pt;mso-wrap-style:none;v-text-anchor:middle;rotation:90;mso-position-vertical:top" wp14:anchorId="3873084A" type="shapetype_75">
                <v:imagedata r:id="rId25" o:detectmouseclick="t"/>
                <v:stroke color="#3465a4" joinstyle="round" endcap="flat"/>
                <w10:wrap type="square"/>
              </v:shape>
            </w:pict>
          </mc:Fallback>
        </mc:AlternateContent>
      </w:r>
      <w:r>
        <w:rPr>
          <w:rFonts w:eastAsia="Times New Roman" w:cs="Arial" w:ascii="Arial" w:hAnsi="Arial"/>
          <w:bCs/>
          <w:iCs/>
          <w:sz w:val="22"/>
        </w:rPr>
        <w:t xml:space="preserve">      </w:t>
      </w:r>
      <w:r>
        <w:rPr/>
        <w:t xml:space="preserve"> </w:t>
      </w:r>
      <w:r>
        <w:rPr/>
        <mc:AlternateContent>
          <mc:Choice Requires="wps">
            <w:drawing>
              <wp:inline distT="0" distB="0" distL="0" distR="0" wp14:anchorId="31AA0F01">
                <wp:extent cx="305435" cy="305435"/>
                <wp:effectExtent l="0" t="0" r="0" b="0"/>
                <wp:docPr id="22" name="Forme5"/>
                <a:graphic xmlns:a="http://schemas.openxmlformats.org/drawingml/2006/main">
                  <a:graphicData uri="http://schemas.microsoft.com/office/word/2010/wordprocessingShape">
                    <wps:wsp>
                      <wps:cNvSpPr/>
                      <wps:spPr>
                        <a:xfrm>
                          <a:off x="0" y="0"/>
                          <a:ext cx="304920" cy="304920"/>
                        </a:xfrm>
                        <a:prstGeom prst="rect">
                          <a:avLst/>
                        </a:prstGeom>
                        <a:noFill/>
                        <a:ln w="0">
                          <a:noFill/>
                        </a:ln>
                      </wps:spPr>
                      <wps:style>
                        <a:lnRef idx="0"/>
                        <a:fillRef idx="0"/>
                        <a:effectRef idx="0"/>
                        <a:fontRef idx="minor"/>
                      </wps:style>
                      <wps:bodyPr/>
                    </wps:wsp>
                  </a:graphicData>
                </a:graphic>
              </wp:inline>
            </w:drawing>
          </mc:Choice>
          <mc:Fallback>
            <w:pict>
              <v:rect id="shape_0" ID="Forme5" path="m0,0l-2147483645,0l-2147483645,-2147483646l0,-2147483646xe" stroked="f" style="position:absolute;margin-left:0pt;margin-top:-24.05pt;width:23.95pt;height:23.95pt;mso-wrap-style:none;v-text-anchor:middle;mso-position-vertical:top" wp14:anchorId="31AA0F01">
                <v:fill o:detectmouseclick="t" on="false"/>
                <v:stroke color="#3465a4" joinstyle="round" endcap="flat"/>
                <w10:wrap type="square"/>
              </v:rect>
            </w:pict>
          </mc:Fallback>
        </mc:AlternateContent>
      </w:r>
      <w:r>
        <w:rPr/>
        <w:t xml:space="preserve"> </w:t>
      </w:r>
      <w:r>
        <w:rPr/>
        <mc:AlternateContent>
          <mc:Choice Requires="wps">
            <w:drawing>
              <wp:inline distT="0" distB="0" distL="0" distR="0" wp14:anchorId="2BCF47A5">
                <wp:extent cx="305435" cy="305435"/>
                <wp:effectExtent l="0" t="0" r="0" b="0"/>
                <wp:docPr id="23" name="Forme6"/>
                <a:graphic xmlns:a="http://schemas.openxmlformats.org/drawingml/2006/main">
                  <a:graphicData uri="http://schemas.microsoft.com/office/word/2010/wordprocessingShape">
                    <wps:wsp>
                      <wps:cNvSpPr/>
                      <wps:spPr>
                        <a:xfrm>
                          <a:off x="0" y="0"/>
                          <a:ext cx="304920" cy="304920"/>
                        </a:xfrm>
                        <a:prstGeom prst="rect">
                          <a:avLst/>
                        </a:prstGeom>
                        <a:noFill/>
                        <a:ln w="0">
                          <a:noFill/>
                        </a:ln>
                      </wps:spPr>
                      <wps:style>
                        <a:lnRef idx="0"/>
                        <a:fillRef idx="0"/>
                        <a:effectRef idx="0"/>
                        <a:fontRef idx="minor"/>
                      </wps:style>
                      <wps:bodyPr/>
                    </wps:wsp>
                  </a:graphicData>
                </a:graphic>
              </wp:inline>
            </w:drawing>
          </mc:Choice>
          <mc:Fallback>
            <w:pict>
              <v:rect id="shape_0" ID="Forme6" path="m0,0l-2147483645,0l-2147483645,-2147483646l0,-2147483646xe" stroked="f" style="position:absolute;margin-left:0pt;margin-top:-24.05pt;width:23.95pt;height:23.95pt;mso-wrap-style:none;v-text-anchor:middle;mso-position-vertical:top" wp14:anchorId="2BCF47A5">
                <v:fill o:detectmouseclick="t" on="false"/>
                <v:stroke color="#3465a4" joinstyle="round" endcap="flat"/>
                <w10:wrap type="square"/>
              </v:rect>
            </w:pict>
          </mc:Fallback>
        </mc:AlternateContent>
      </w:r>
      <w:r>
        <w:rPr>
          <w:rFonts w:eastAsia="Times New Roman" w:cs="Arial" w:ascii="Arial" w:hAnsi="Arial"/>
          <w:bCs/>
          <w:iCs/>
          <w:sz w:val="22"/>
        </w:rPr>
        <w:tab/>
        <w:tab/>
        <w:tab/>
      </w:r>
      <w:r>
        <w:rPr>
          <w:rFonts w:eastAsia="Times New Roman" w:cs="Arial" w:ascii="Arial" w:hAnsi="Arial"/>
          <w:bCs/>
          <w:iCs/>
          <w:sz w:val="22"/>
        </w:rPr>
        <mc:AlternateContent>
          <mc:Choice Requires="wps">
            <w:drawing>
              <wp:inline distT="0" distB="0" distL="0" distR="0" wp14:anchorId="3841A236">
                <wp:extent cx="305435" cy="305435"/>
                <wp:effectExtent l="0" t="0" r="0" b="0"/>
                <wp:docPr id="24" name="Forme7"/>
                <a:graphic xmlns:a="http://schemas.openxmlformats.org/drawingml/2006/main">
                  <a:graphicData uri="http://schemas.microsoft.com/office/word/2010/wordprocessingShape">
                    <wps:wsp>
                      <wps:cNvSpPr/>
                      <wps:spPr>
                        <a:xfrm>
                          <a:off x="0" y="0"/>
                          <a:ext cx="304920" cy="304920"/>
                        </a:xfrm>
                        <a:prstGeom prst="rect">
                          <a:avLst/>
                        </a:prstGeom>
                        <a:noFill/>
                        <a:ln w="0">
                          <a:noFill/>
                        </a:ln>
                      </wps:spPr>
                      <wps:style>
                        <a:lnRef idx="0"/>
                        <a:fillRef idx="0"/>
                        <a:effectRef idx="0"/>
                        <a:fontRef idx="minor"/>
                      </wps:style>
                      <wps:txbx>
                        <w:txbxContent>
                          <w:p>
                            <w:pPr>
                              <w:pStyle w:val="Contenudecadre"/>
                              <w:spacing w:before="0" w:after="149"/>
                              <w:ind w:left="0" w:hanging="10"/>
                              <w:jc w:val="center"/>
                              <w:rPr/>
                            </w:pPr>
                            <w:r>
                              <w:rPr/>
                            </w:r>
                          </w:p>
                        </w:txbxContent>
                      </wps:txbx>
                      <wps:bodyPr upright="1">
                        <a:noAutofit/>
                      </wps:bodyPr>
                    </wps:wsp>
                  </a:graphicData>
                </a:graphic>
              </wp:inline>
            </w:drawing>
          </mc:Choice>
          <mc:Fallback>
            <w:pict>
              <v:rect id="shape_0" ID="Forme7" path="m0,0l-2147483645,0l-2147483645,-2147483646l0,-2147483646xe" stroked="f" style="position:absolute;margin-left:0pt;margin-top:-24.05pt;width:23.95pt;height:23.95pt;mso-wrap-style:none;v-text-anchor:middle;mso-position-vertical:top" wp14:anchorId="3841A236">
                <v:fill o:detectmouseclick="t" on="false"/>
                <v:stroke color="#3465a4" joinstyle="round" endcap="flat"/>
                <v:textbox>
                  <w:txbxContent>
                    <w:p>
                      <w:pPr>
                        <w:pStyle w:val="Contenudecadre"/>
                        <w:spacing w:before="0" w:after="149"/>
                        <w:ind w:left="0" w:hanging="10"/>
                        <w:jc w:val="center"/>
                        <w:rPr/>
                      </w:pPr>
                      <w:r>
                        <w:rPr/>
                      </w:r>
                    </w:p>
                  </w:txbxContent>
                </v:textbox>
                <w10:wrap type="square"/>
              </v:rect>
            </w:pict>
          </mc:Fallback>
        </mc:AlternateContent>
      </w:r>
      <w:r>
        <w:rPr>
          <w:rFonts w:eastAsia="Times New Roman" w:cs="Arial" w:ascii="Arial" w:hAnsi="Arial"/>
          <w:bCs/>
          <w:iCs/>
          <w:sz w:val="22"/>
        </w:rPr>
        <mc:AlternateContent>
          <mc:Choice Requires="wps">
            <w:drawing>
              <wp:inline distT="0" distB="0" distL="0" distR="0" wp14:anchorId="3841A236">
                <wp:extent cx="305435" cy="305435"/>
                <wp:effectExtent l="0" t="0" r="0" b="0"/>
                <wp:docPr id="26" name="Forme7"/>
                <a:graphic xmlns:a="http://schemas.openxmlformats.org/drawingml/2006/main">
                  <a:graphicData uri="http://schemas.microsoft.com/office/word/2010/wordprocessingShape">
                    <wps:wsp>
                      <wps:cNvSpPr/>
                      <wps:spPr>
                        <a:xfrm>
                          <a:off x="0" y="0"/>
                          <a:ext cx="304920" cy="304920"/>
                        </a:xfrm>
                        <a:prstGeom prst="rect">
                          <a:avLst/>
                        </a:prstGeom>
                        <a:noFill/>
                        <a:ln w="0">
                          <a:noFill/>
                        </a:ln>
                      </wps:spPr>
                      <wps:style>
                        <a:lnRef idx="0"/>
                        <a:fillRef idx="0"/>
                        <a:effectRef idx="0"/>
                        <a:fontRef idx="minor"/>
                      </wps:style>
                      <wps:txbx>
                        <w:txbxContent>
                          <w:p>
                            <w:pPr>
                              <w:pStyle w:val="Contenudecadre"/>
                              <w:spacing w:before="0" w:after="149"/>
                              <w:ind w:left="0" w:hanging="10"/>
                              <w:jc w:val="center"/>
                              <w:rPr/>
                            </w:pPr>
                            <w:r>
                              <w:rPr/>
                            </w:r>
                          </w:p>
                        </w:txbxContent>
                      </wps:txbx>
                      <wps:bodyPr upright="1">
                        <a:noAutofit/>
                      </wps:bodyPr>
                    </wps:wsp>
                  </a:graphicData>
                </a:graphic>
              </wp:inline>
            </w:drawing>
          </mc:Choice>
          <mc:Fallback>
            <w:pict>
              <v:rect id="shape_0" ID="Forme7" path="m0,0l-2147483645,0l-2147483645,-2147483646l0,-2147483646xe" stroked="f" style="position:absolute;margin-left:0pt;margin-top:-24.05pt;width:23.95pt;height:23.95pt;mso-wrap-style:none;v-text-anchor:middle;mso-position-vertical:top" wp14:anchorId="3841A236">
                <v:fill o:detectmouseclick="t" on="false"/>
                <v:stroke color="#3465a4" joinstyle="round" endcap="flat"/>
                <v:textbox>
                  <w:txbxContent>
                    <w:p>
                      <w:pPr>
                        <w:pStyle w:val="Contenudecadre"/>
                        <w:spacing w:before="0" w:after="149"/>
                        <w:ind w:left="0" w:hanging="10"/>
                        <w:jc w:val="center"/>
                        <w:rPr/>
                      </w:pPr>
                      <w:r>
                        <w:rPr/>
                      </w:r>
                    </w:p>
                  </w:txbxContent>
                </v:textbox>
                <w10:wrap type="square"/>
              </v:rect>
            </w:pict>
          </mc:Fallback>
        </mc:AlternateContent>
      </w:r>
    </w:p>
    <w:p>
      <w:pPr>
        <w:pStyle w:val="Normal"/>
        <w:spacing w:lineRule="auto" w:line="247" w:before="0" w:after="5"/>
        <w:ind w:left="0" w:hanging="0"/>
        <w:jc w:val="both"/>
        <w:rPr>
          <w:rFonts w:ascii="Arial" w:hAnsi="Arial" w:eastAsia="Times New Roman" w:cs="Arial"/>
          <w:bCs/>
          <w:iCs/>
          <w:sz w:val="22"/>
        </w:rPr>
      </w:pPr>
      <w:r>
        <w:rPr>
          <w:rFonts w:eastAsia="Times New Roman" w:cs="Arial" w:ascii="Arial" w:hAnsi="Arial"/>
          <w:bCs/>
          <w:iCs/>
          <w:sz w:val="22"/>
        </w:rPr>
        <w:t xml:space="preserve">L’espace concerné est aujourd’hui entièrement clôturé et fermé au public. </w:t>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t>L’environnement immédiat du projet est constitué d’un immeuble collectif de 32 appartements à l’Ouest et d’une résidence pavillonnaire au Sud.</w:t>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r>
    </w:p>
    <w:p>
      <w:pPr>
        <w:pStyle w:val="Normal"/>
        <w:spacing w:lineRule="auto" w:line="247" w:before="0" w:after="5"/>
        <w:ind w:left="0" w:hanging="0"/>
        <w:jc w:val="both"/>
        <w:rPr>
          <w:rFonts w:ascii="Arial" w:hAnsi="Arial" w:eastAsia="Times New Roman" w:cs="Arial"/>
          <w:bCs/>
          <w:iCs/>
          <w:sz w:val="22"/>
        </w:rPr>
      </w:pPr>
      <w:r>
        <w:rPr>
          <w:rFonts w:eastAsia="Times New Roman" w:cs="Arial" w:ascii="Arial" w:hAnsi="Arial"/>
          <w:bCs/>
          <w:iCs/>
          <w:sz w:val="22"/>
        </w:rPr>
        <w:t xml:space="preserve">                              </w:t>
      </w:r>
      <w:r>
        <w:rPr/>
        <w:drawing>
          <wp:inline distT="0" distB="0" distL="0" distR="0">
            <wp:extent cx="3098800" cy="2324100"/>
            <wp:effectExtent l="0" t="0" r="0" b="0"/>
            <wp:docPr id="28" name="Image3" descr="Une image contenant plein air, arbre, herb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 descr="Une image contenant plein air, arbre, herbe, ciel&#10;&#10;Description générée automatiquement"/>
                    <pic:cNvPicPr>
                      <a:picLocks noChangeAspect="1" noChangeArrowheads="1"/>
                    </pic:cNvPicPr>
                  </pic:nvPicPr>
                  <pic:blipFill>
                    <a:blip r:embed="rId26"/>
                    <a:stretch>
                      <a:fillRect/>
                    </a:stretch>
                  </pic:blipFill>
                  <pic:spPr bwMode="auto">
                    <a:xfrm flipH="1">
                      <a:off x="0" y="0"/>
                      <a:ext cx="3098800" cy="2324100"/>
                    </a:xfrm>
                    <a:prstGeom prst="rect">
                      <a:avLst/>
                    </a:prstGeom>
                  </pic:spPr>
                </pic:pic>
              </a:graphicData>
            </a:graphic>
          </wp:inline>
        </w:drawing>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t>Des plantations de haute tige protègent les habitations de la voie SNCF/RER au Nord et de l’avenue Gorges Kerdavid (D 970) à l’Est.</w:t>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t xml:space="preserve">                          </w:t>
      </w:r>
      <w:r>
        <w:rPr/>
        <w:drawing>
          <wp:inline distT="0" distB="0" distL="0" distR="0">
            <wp:extent cx="3237230" cy="2428240"/>
            <wp:effectExtent l="0" t="0" r="0" b="0"/>
            <wp:docPr id="29" name="Image 9" descr="Une image contenant plein air, ciel, nuage,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9" descr="Une image contenant plein air, ciel, nuage, herbe&#10;&#10;Description générée automatiquement"/>
                    <pic:cNvPicPr>
                      <a:picLocks noChangeAspect="1" noChangeArrowheads="1"/>
                    </pic:cNvPicPr>
                  </pic:nvPicPr>
                  <pic:blipFill>
                    <a:blip r:embed="rId27"/>
                    <a:stretch>
                      <a:fillRect/>
                    </a:stretch>
                  </pic:blipFill>
                  <pic:spPr bwMode="auto">
                    <a:xfrm>
                      <a:off x="0" y="0"/>
                      <a:ext cx="3237230" cy="2428240"/>
                    </a:xfrm>
                    <a:prstGeom prst="rect">
                      <a:avLst/>
                    </a:prstGeom>
                  </pic:spPr>
                </pic:pic>
              </a:graphicData>
            </a:graphic>
          </wp:inline>
        </w:drawing>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r>
    </w:p>
    <w:p>
      <w:pPr>
        <w:pStyle w:val="Normal"/>
        <w:spacing w:lineRule="auto" w:line="247" w:before="0" w:after="5"/>
        <w:jc w:val="both"/>
        <w:rPr>
          <w:rFonts w:ascii="Arial" w:hAnsi="Arial" w:eastAsia="Times New Roman" w:cs="Arial"/>
          <w:bCs/>
          <w:iCs/>
          <w:sz w:val="22"/>
        </w:rPr>
      </w:pPr>
      <w:r>
        <w:rPr>
          <w:rFonts w:eastAsia="Times New Roman" w:cs="Arial" w:ascii="Arial" w:hAnsi="Arial"/>
          <w:bCs/>
          <w:iCs/>
          <w:sz w:val="22"/>
        </w:rPr>
        <w:t>Situé à proximité d’espaces agricoles tout en étant proche d’une gare RER, le site semble parfaitement adapté au projet dit « Les Jasmins » et ce futur lotissement de 20 maisons devrait pouvoir s’intégrer sans difficultés majeures à un quartier constitué principalement de maisons individuelles.</w:t>
      </w:r>
    </w:p>
    <w:p>
      <w:pPr>
        <w:pStyle w:val="Normal"/>
        <w:spacing w:lineRule="auto" w:line="247" w:before="0" w:after="5"/>
        <w:jc w:val="both"/>
        <w:rPr>
          <w:rFonts w:ascii="Arial" w:hAnsi="Arial" w:eastAsia="Times New Roman" w:cs="Arial"/>
          <w:bCs/>
          <w:i/>
          <w:i/>
          <w:sz w:val="22"/>
        </w:rPr>
      </w:pPr>
      <w:r>
        <w:rPr>
          <w:rFonts w:eastAsia="Times New Roman" w:cs="Arial" w:ascii="Arial" w:hAnsi="Arial"/>
          <w:bCs/>
          <w:i/>
          <w:sz w:val="22"/>
        </w:rPr>
      </w:r>
    </w:p>
    <w:p>
      <w:pPr>
        <w:pStyle w:val="Normal"/>
        <w:spacing w:lineRule="auto" w:line="247" w:before="0" w:after="5"/>
        <w:ind w:left="0" w:hanging="0"/>
        <w:jc w:val="both"/>
        <w:rPr>
          <w:rFonts w:ascii="Arial" w:hAnsi="Arial" w:eastAsia="Times New Roman" w:cs="Arial"/>
          <w:sz w:val="22"/>
        </w:rPr>
      </w:pPr>
      <w:r>
        <w:rPr>
          <w:rFonts w:eastAsia="Times New Roman" w:cs="Arial" w:ascii="Arial" w:hAnsi="Arial"/>
          <w:sz w:val="22"/>
        </w:rPr>
      </w:r>
    </w:p>
    <w:p>
      <w:pPr>
        <w:pStyle w:val="ListParagraph"/>
        <w:numPr>
          <w:ilvl w:val="1"/>
          <w:numId w:val="39"/>
        </w:numPr>
        <w:spacing w:lineRule="auto" w:line="247" w:before="0" w:after="5"/>
        <w:contextualSpacing/>
        <w:jc w:val="both"/>
        <w:rPr>
          <w:rFonts w:ascii="Arial" w:hAnsi="Arial" w:eastAsia="Times New Roman" w:cs="Arial"/>
          <w:b/>
          <w:b/>
          <w:bCs/>
          <w:sz w:val="22"/>
        </w:rPr>
      </w:pPr>
      <w:r>
        <w:rPr>
          <w:rFonts w:eastAsia="Times New Roman" w:cs="Arial" w:ascii="Arial" w:hAnsi="Arial"/>
          <w:b/>
          <w:bCs/>
          <w:sz w:val="22"/>
        </w:rPr>
        <w:t>Mesures de publicité</w:t>
      </w:r>
    </w:p>
    <w:p>
      <w:pPr>
        <w:pStyle w:val="Normal"/>
        <w:spacing w:lineRule="auto" w:line="247" w:before="0" w:after="5"/>
        <w:ind w:left="0" w:hanging="0"/>
        <w:jc w:val="both"/>
        <w:rPr>
          <w:rFonts w:ascii="Arial" w:hAnsi="Arial" w:eastAsia="Times New Roman" w:cs="Arial"/>
          <w:color w:val="0070C0"/>
          <w:sz w:val="22"/>
        </w:rPr>
      </w:pPr>
      <w:r>
        <w:rPr>
          <w:rFonts w:eastAsia="Times New Roman" w:cs="Arial" w:ascii="Arial" w:hAnsi="Arial"/>
          <w:color w:val="0070C0"/>
          <w:sz w:val="22"/>
        </w:rPr>
      </w:r>
    </w:p>
    <w:p>
      <w:pPr>
        <w:pStyle w:val="Normal"/>
        <w:spacing w:lineRule="auto" w:line="247" w:before="0" w:after="5"/>
        <w:jc w:val="both"/>
        <w:rPr>
          <w:rFonts w:ascii="Arial" w:hAnsi="Arial" w:eastAsia="Times New Roman" w:cs="Arial"/>
          <w:color w:val="0070C0"/>
          <w:sz w:val="22"/>
        </w:rPr>
      </w:pPr>
      <w:r>
        <w:rPr>
          <w:rFonts w:eastAsia="Times New Roman" w:cs="Arial" w:ascii="Arial" w:hAnsi="Arial"/>
          <w:color w:val="0070C0"/>
          <w:sz w:val="22"/>
        </w:rPr>
      </w:r>
    </w:p>
    <w:p>
      <w:pPr>
        <w:pStyle w:val="Normal"/>
        <w:spacing w:lineRule="auto" w:line="247" w:before="0" w:after="5"/>
        <w:jc w:val="both"/>
        <w:rPr>
          <w:rFonts w:ascii="Arial" w:hAnsi="Arial" w:eastAsia="Times New Roman" w:cs="Arial"/>
          <w:color w:val="auto"/>
          <w:sz w:val="22"/>
        </w:rPr>
      </w:pPr>
      <w:r>
        <w:rPr>
          <w:rFonts w:eastAsia="Times New Roman" w:cs="Arial" w:ascii="Arial" w:hAnsi="Arial"/>
          <w:color w:val="auto"/>
          <w:sz w:val="22"/>
        </w:rPr>
        <w:t xml:space="preserve">L’avis d’enquête publique a été publié sur le site dédié à l’enquête via l'adresse internet mentionnée à l’article 9 de l’arrêté préfectoral et les dossiers DUP et Parcellaire ont bien été mis à la disposition du public à partir du 29 janvier 2024 et pendant toute la durée de l’enquête.  </w:t>
      </w:r>
    </w:p>
    <w:p>
      <w:pPr>
        <w:pStyle w:val="Normal"/>
        <w:spacing w:lineRule="auto" w:line="247" w:before="0" w:after="5"/>
        <w:jc w:val="both"/>
        <w:rPr>
          <w:rFonts w:ascii="Arial" w:hAnsi="Arial" w:eastAsia="Times New Roman" w:cs="Arial"/>
          <w:color w:val="auto"/>
          <w:sz w:val="22"/>
        </w:rPr>
      </w:pPr>
      <w:r>
        <w:rPr>
          <w:rFonts w:eastAsia="Times New Roman" w:cs="Arial" w:ascii="Arial" w:hAnsi="Arial"/>
          <w:color w:val="auto"/>
          <w:sz w:val="22"/>
        </w:rPr>
      </w:r>
    </w:p>
    <w:p>
      <w:pPr>
        <w:pStyle w:val="Normal"/>
        <w:spacing w:lineRule="auto" w:line="247" w:before="0" w:after="5"/>
        <w:jc w:val="both"/>
        <w:rPr>
          <w:rFonts w:ascii="Arial" w:hAnsi="Arial" w:eastAsia="Times New Roman" w:cs="Arial"/>
          <w:color w:val="auto"/>
          <w:sz w:val="22"/>
        </w:rPr>
      </w:pPr>
      <w:r>
        <w:rPr>
          <w:rFonts w:eastAsia="Times New Roman" w:cs="Arial" w:ascii="Arial" w:hAnsi="Arial"/>
          <w:color w:val="auto"/>
          <w:sz w:val="22"/>
        </w:rPr>
        <w:t>L’avis annonçant l’ouverture de l'enquête publique a été inséré, par les soins de la Mairie de Gonesse dans deux journaux locaux ou régionaux, huit jours au moins avant la date d'ouverture de l'enquête publique, en vue de l'information du public.</w:t>
      </w:r>
    </w:p>
    <w:p>
      <w:pPr>
        <w:pStyle w:val="Normal"/>
        <w:spacing w:lineRule="auto" w:line="247" w:before="0" w:after="5"/>
        <w:jc w:val="both"/>
        <w:rPr>
          <w:rFonts w:ascii="Arial" w:hAnsi="Arial" w:eastAsia="Times New Roman" w:cs="Arial"/>
          <w:color w:val="auto"/>
          <w:sz w:val="22"/>
        </w:rPr>
      </w:pPr>
      <w:r>
        <w:rPr>
          <w:rFonts w:eastAsia="Times New Roman" w:cs="Arial" w:ascii="Arial" w:hAnsi="Arial"/>
          <w:color w:val="auto"/>
          <w:sz w:val="22"/>
        </w:rPr>
        <w:t>Les publications de cet avis ont été effectuées comme suit :</w:t>
      </w:r>
    </w:p>
    <w:p>
      <w:pPr>
        <w:pStyle w:val="Normal"/>
        <w:spacing w:lineRule="auto" w:line="247" w:before="0" w:after="5"/>
        <w:jc w:val="both"/>
        <w:rPr>
          <w:rFonts w:ascii="Arial" w:hAnsi="Arial" w:eastAsia="Times New Roman" w:cs="Arial"/>
          <w:color w:val="auto"/>
          <w:sz w:val="22"/>
        </w:rPr>
      </w:pPr>
      <w:r>
        <w:rPr>
          <w:rFonts w:eastAsia="Times New Roman" w:cs="Arial" w:ascii="Arial" w:hAnsi="Arial"/>
          <w:color w:val="auto"/>
          <w:sz w:val="22"/>
        </w:rPr>
        <w:t>le mercredi 17 janvier 2024 dans le journal Le Grand Parisien</w:t>
      </w:r>
    </w:p>
    <w:p>
      <w:pPr>
        <w:pStyle w:val="Normal"/>
        <w:spacing w:lineRule="auto" w:line="247" w:before="0" w:after="5"/>
        <w:jc w:val="both"/>
        <w:rPr>
          <w:rFonts w:ascii="Arial" w:hAnsi="Arial" w:eastAsia="Times New Roman" w:cs="Arial"/>
          <w:color w:val="auto"/>
          <w:sz w:val="22"/>
        </w:rPr>
      </w:pPr>
      <w:r>
        <w:rPr>
          <w:rFonts w:eastAsia="Times New Roman" w:cs="Arial" w:ascii="Arial" w:hAnsi="Arial"/>
          <w:color w:val="auto"/>
          <w:sz w:val="22"/>
        </w:rPr>
        <w:t>le mercredi 17 janvier 2024 dans le journal La Gazette du Val d’Oise</w:t>
      </w:r>
    </w:p>
    <w:p>
      <w:pPr>
        <w:pStyle w:val="Normal"/>
        <w:spacing w:lineRule="auto" w:line="247" w:before="0" w:after="5"/>
        <w:jc w:val="both"/>
        <w:rPr>
          <w:rFonts w:ascii="Arial" w:hAnsi="Arial" w:eastAsia="Times New Roman" w:cs="Arial"/>
          <w:color w:val="auto"/>
          <w:sz w:val="22"/>
        </w:rPr>
      </w:pPr>
      <w:r>
        <w:rPr>
          <w:rFonts w:eastAsia="Times New Roman" w:cs="Arial" w:ascii="Arial" w:hAnsi="Arial"/>
          <w:color w:val="auto"/>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t xml:space="preserve">Conformément à l’article 9 de l’arrêté préfectoral, l’avis a été affiché et le constat de cet affichage a été rédigé le 16 janvier 2024 (respectant le délai de huit jours avant l’ouverture </w:t>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t>de l’enquête) par l’Adjoint au Chef de Service de la Police Municipale, sur les sept lieux suivants (document joint en annexe) :</w:t>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t xml:space="preserve">                                                    </w:t>
      </w:r>
      <w:r>
        <w:rPr/>
        <w:drawing>
          <wp:inline distT="0" distB="0" distL="0" distR="0">
            <wp:extent cx="1223645" cy="1631315"/>
            <wp:effectExtent l="0" t="0" r="0" b="0"/>
            <wp:docPr id="30" name="Image4" descr="Une image contenant texte, Rectangle, jaune, s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 descr="Une image contenant texte, Rectangle, jaune, signe&#10;&#10;Description générée automatiquement"/>
                    <pic:cNvPicPr>
                      <a:picLocks noChangeAspect="1" noChangeArrowheads="1"/>
                    </pic:cNvPicPr>
                  </pic:nvPicPr>
                  <pic:blipFill>
                    <a:blip r:embed="rId28"/>
                    <a:stretch>
                      <a:fillRect/>
                    </a:stretch>
                  </pic:blipFill>
                  <pic:spPr bwMode="auto">
                    <a:xfrm>
                      <a:off x="0" y="0"/>
                      <a:ext cx="1223645" cy="1631315"/>
                    </a:xfrm>
                    <a:prstGeom prst="rect">
                      <a:avLst/>
                    </a:prstGeom>
                  </pic:spPr>
                </pic:pic>
              </a:graphicData>
            </a:graphic>
          </wp:inline>
        </w:drawing>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t>- Hôtel de Ville, Pôle population-éducation-solidarité, Pôle administration générale des sports, Maison des habitants Ingrid Betancourt,</w:t>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t xml:space="preserve">- Site de l’opération : </w:t>
      </w:r>
    </w:p>
    <w:p>
      <w:pPr>
        <w:pStyle w:val="ListParagraph"/>
        <w:numPr>
          <w:ilvl w:val="0"/>
          <w:numId w:val="18"/>
        </w:numPr>
        <w:spacing w:lineRule="auto" w:line="259" w:before="0" w:after="0"/>
        <w:contextualSpacing/>
        <w:rPr>
          <w:rFonts w:ascii="Arial" w:hAnsi="Arial" w:eastAsia="Times New Roman" w:cs="Arial"/>
          <w:sz w:val="22"/>
        </w:rPr>
      </w:pPr>
      <w:r>
        <w:rPr>
          <w:rFonts w:eastAsia="Times New Roman" w:cs="Arial" w:ascii="Arial" w:hAnsi="Arial"/>
          <w:sz w:val="22"/>
        </w:rPr>
        <w:t>angle avenues Jasmins / Kerdavid,</w:t>
      </w:r>
    </w:p>
    <w:p>
      <w:pPr>
        <w:pStyle w:val="ListParagraph"/>
        <w:numPr>
          <w:ilvl w:val="0"/>
          <w:numId w:val="18"/>
        </w:numPr>
        <w:spacing w:lineRule="auto" w:line="259" w:before="0" w:after="0"/>
        <w:contextualSpacing/>
        <w:rPr>
          <w:rFonts w:ascii="Arial" w:hAnsi="Arial" w:eastAsia="Times New Roman" w:cs="Arial"/>
          <w:sz w:val="22"/>
        </w:rPr>
      </w:pPr>
      <w:r>
        <w:rPr>
          <w:rFonts w:eastAsia="Times New Roman" w:cs="Arial" w:ascii="Arial" w:hAnsi="Arial"/>
          <w:sz w:val="22"/>
        </w:rPr>
        <w:t>angle avenues Jasmins / Meyer</w:t>
      </w:r>
    </w:p>
    <w:p>
      <w:pPr>
        <w:pStyle w:val="ListParagraph"/>
        <w:numPr>
          <w:ilvl w:val="0"/>
          <w:numId w:val="18"/>
        </w:numPr>
        <w:spacing w:lineRule="auto" w:line="259" w:before="0" w:after="0"/>
        <w:contextualSpacing/>
        <w:rPr>
          <w:rFonts w:ascii="Arial" w:hAnsi="Arial" w:eastAsia="Times New Roman" w:cs="Arial"/>
          <w:sz w:val="22"/>
        </w:rPr>
      </w:pPr>
      <w:r>
        <w:rPr>
          <w:rFonts w:eastAsia="Times New Roman" w:cs="Arial" w:ascii="Arial" w:hAnsi="Arial"/>
          <w:sz w:val="22"/>
        </w:rPr>
        <w:t>entrée du site Jasmins / Meyer</w:t>
      </w:r>
    </w:p>
    <w:p>
      <w:pPr>
        <w:pStyle w:val="Normal"/>
        <w:spacing w:lineRule="auto" w:line="259" w:before="0" w:after="0"/>
        <w:rPr>
          <w:rFonts w:ascii="Arial" w:hAnsi="Arial" w:eastAsia="Times New Roman" w:cs="Arial"/>
          <w:sz w:val="22"/>
        </w:rPr>
      </w:pPr>
      <w:r>
        <w:rPr>
          <w:rFonts w:eastAsia="Times New Roman" w:cs="Arial" w:ascii="Arial" w:hAnsi="Arial"/>
          <w:sz w:val="22"/>
        </w:rPr>
      </w:r>
    </w:p>
    <w:p>
      <w:pPr>
        <w:pStyle w:val="Normal"/>
        <w:spacing w:lineRule="auto" w:line="259" w:before="0" w:after="0"/>
        <w:rPr>
          <w:rFonts w:ascii="Arial" w:hAnsi="Arial" w:eastAsia="Times New Roman" w:cs="Arial"/>
          <w:sz w:val="22"/>
        </w:rPr>
      </w:pPr>
      <w:r>
        <w:rPr>
          <w:rFonts w:eastAsia="Times New Roman" w:cs="Arial" w:ascii="Arial" w:hAnsi="Arial"/>
          <w:sz w:val="22"/>
        </w:rPr>
        <w:t>A ma demande, bien que cela ne soit pas une obligation prescrite dans l’arrêté, l’avis d’enquête publique ainsi que les dossiers correspondants ont été publiés sur le site de la ville Gonesse en cours d’enquête.</w:t>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tab/>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t>Conformément aux articles 7 et 8 de l’arrêté préfectoral, La ville de Gonesse a adressé un courrier remis par huissier aux ayants droit (soit 8 personnes) des trois copropriétaires indivis n’ayant pas conclu d’accord amiable. Ce courrier, daté du 23 janvier 2024 et signé par le Maire-Adjoint délégué à l’Urbanisme et au logement qui a délégation du Maire de Gonesse :</w:t>
      </w:r>
    </w:p>
    <w:p>
      <w:pPr>
        <w:pStyle w:val="ListParagraph"/>
        <w:numPr>
          <w:ilvl w:val="0"/>
          <w:numId w:val="19"/>
        </w:numPr>
        <w:spacing w:lineRule="auto" w:line="259" w:before="0" w:after="0"/>
        <w:contextualSpacing/>
        <w:rPr>
          <w:rFonts w:ascii="Arial" w:hAnsi="Arial" w:eastAsia="Times New Roman" w:cs="Arial"/>
          <w:sz w:val="22"/>
        </w:rPr>
      </w:pPr>
      <w:r>
        <w:rPr>
          <w:rFonts w:eastAsia="Times New Roman" w:cs="Arial" w:ascii="Arial" w:hAnsi="Arial"/>
          <w:sz w:val="22"/>
        </w:rPr>
        <w:t>annonce l’ouverture de l’enquête conjointe DUP et Parcellaire relative au projet de réalisation d’un lotissement d’habitat individuel groupé de 20 lots à bâtir et d’espaces publics aménagés, en précisant les dates et heures de permanence du commissaire enquêteur ainsi que les conditions de consultation des dossiers,</w:t>
      </w:r>
    </w:p>
    <w:p>
      <w:pPr>
        <w:pStyle w:val="ListParagraph"/>
        <w:numPr>
          <w:ilvl w:val="0"/>
          <w:numId w:val="19"/>
        </w:numPr>
        <w:spacing w:lineRule="auto" w:line="259" w:before="0" w:after="0"/>
        <w:contextualSpacing/>
        <w:rPr>
          <w:rFonts w:ascii="Arial" w:hAnsi="Arial" w:eastAsia="Times New Roman" w:cs="Arial"/>
          <w:sz w:val="22"/>
        </w:rPr>
      </w:pPr>
      <w:r>
        <w:rPr>
          <w:rFonts w:eastAsia="Times New Roman" w:cs="Arial" w:ascii="Arial" w:hAnsi="Arial"/>
          <w:sz w:val="22"/>
        </w:rPr>
        <w:t>précise que les intéressés  sont tenus de remplir la fiche de renseignements jointe au courrier.</w:t>
      </w:r>
    </w:p>
    <w:p>
      <w:pPr>
        <w:pStyle w:val="Normal"/>
        <w:spacing w:lineRule="auto" w:line="259" w:before="0" w:after="0"/>
        <w:rPr>
          <w:rFonts w:ascii="Arial" w:hAnsi="Arial" w:eastAsia="Times New Roman" w:cs="Arial"/>
          <w:sz w:val="22"/>
        </w:rPr>
      </w:pPr>
      <w:r>
        <w:rPr>
          <w:rFonts w:eastAsia="Times New Roman" w:cs="Arial" w:ascii="Arial" w:hAnsi="Arial"/>
          <w:sz w:val="22"/>
        </w:rPr>
        <w:t>Une copie de ces pièces sera jointe en annexe de ce rapport.</w:t>
      </w:r>
    </w:p>
    <w:p>
      <w:pPr>
        <w:pStyle w:val="Normal"/>
        <w:spacing w:lineRule="auto" w:line="259" w:before="0" w:after="0"/>
        <w:rPr>
          <w:rFonts w:ascii="Arial" w:hAnsi="Arial" w:eastAsia="Times New Roman" w:cs="Arial"/>
          <w:sz w:val="22"/>
        </w:rPr>
      </w:pPr>
      <w:r>
        <w:rPr>
          <w:rFonts w:eastAsia="Times New Roman" w:cs="Arial" w:ascii="Arial" w:hAnsi="Arial"/>
          <w:sz w:val="22"/>
        </w:rPr>
      </w:r>
    </w:p>
    <w:p>
      <w:pPr>
        <w:pStyle w:val="Normal"/>
        <w:spacing w:lineRule="auto" w:line="259" w:before="0" w:after="0"/>
        <w:rPr>
          <w:rFonts w:ascii="Arial" w:hAnsi="Arial" w:eastAsia="Times New Roman" w:cs="Arial"/>
          <w:sz w:val="22"/>
        </w:rPr>
      </w:pPr>
      <w:r>
        <w:rPr>
          <w:rFonts w:eastAsia="Times New Roman" w:cs="Arial" w:ascii="Arial" w:hAnsi="Arial"/>
          <w:sz w:val="22"/>
        </w:rPr>
        <w:t>Enfin, la ville a missionné le cabinet d’Assistnde Foncière (77540 COURPALAY) pour assurer le suivi de l’ensemble des transactions réalisées avec les 57 copropriétaires qui ont donné un accord amiable de cession de leurs droits à la ville de Gonesse.</w:t>
      </w:r>
    </w:p>
    <w:p>
      <w:pPr>
        <w:pStyle w:val="Normal"/>
        <w:spacing w:lineRule="auto" w:line="259" w:before="0" w:after="0"/>
        <w:rPr>
          <w:rFonts w:ascii="Arial" w:hAnsi="Arial" w:eastAsia="Times New Roman" w:cs="Arial"/>
          <w:sz w:val="22"/>
        </w:rPr>
      </w:pPr>
      <w:r>
        <w:rPr>
          <w:rFonts w:eastAsia="Times New Roman" w:cs="Arial" w:ascii="Arial" w:hAnsi="Arial"/>
          <w:sz w:val="22"/>
        </w:rPr>
        <w:t xml:space="preserve">Une copie du document actant de ces accords est jointe en annexe de ce rapport. </w:t>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ListParagraph"/>
        <w:keepNext w:val="true"/>
        <w:keepLines/>
        <w:numPr>
          <w:ilvl w:val="0"/>
          <w:numId w:val="39"/>
        </w:numPr>
        <w:spacing w:lineRule="auto" w:line="247" w:before="0" w:after="5"/>
        <w:contextualSpacing/>
        <w:outlineLvl w:val="0"/>
        <w:rPr>
          <w:rFonts w:ascii="Arial" w:hAnsi="Arial" w:eastAsia="Times New Roman" w:cs="Arial"/>
          <w:b/>
          <w:b/>
          <w:sz w:val="22"/>
        </w:rPr>
      </w:pPr>
      <w:r>
        <w:rPr>
          <w:rFonts w:eastAsia="Times New Roman" w:cs="Arial" w:ascii="Arial" w:hAnsi="Arial"/>
          <w:b/>
          <w:sz w:val="22"/>
        </w:rPr>
        <w:t xml:space="preserve">Déroulement de l’enquête </w:t>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t xml:space="preserve"> </w:t>
      </w:r>
    </w:p>
    <w:p>
      <w:pPr>
        <w:pStyle w:val="ListParagraph"/>
        <w:numPr>
          <w:ilvl w:val="1"/>
          <w:numId w:val="39"/>
        </w:numPr>
        <w:spacing w:lineRule="auto" w:line="247" w:before="0" w:after="5"/>
        <w:contextualSpacing/>
        <w:jc w:val="both"/>
        <w:rPr>
          <w:rFonts w:ascii="Arial" w:hAnsi="Arial" w:eastAsia="Times New Roman" w:cs="Arial"/>
          <w:b/>
          <w:b/>
          <w:bCs/>
          <w:sz w:val="22"/>
        </w:rPr>
      </w:pPr>
      <w:r>
        <w:rPr>
          <w:rFonts w:eastAsia="Times New Roman" w:cs="Arial" w:ascii="Arial" w:hAnsi="Arial"/>
          <w:sz w:val="22"/>
        </w:rPr>
        <w:t xml:space="preserve"> </w:t>
      </w:r>
      <w:r>
        <w:rPr>
          <w:rFonts w:eastAsia="Times New Roman" w:cs="Arial" w:ascii="Arial" w:hAnsi="Arial"/>
          <w:b/>
          <w:bCs/>
          <w:sz w:val="22"/>
        </w:rPr>
        <w:t xml:space="preserve">Permanences réalisées </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Normal"/>
        <w:spacing w:lineRule="auto" w:line="247" w:before="0" w:after="5"/>
        <w:jc w:val="both"/>
        <w:rPr>
          <w:rFonts w:ascii="Arial" w:hAnsi="Arial" w:eastAsia="Times New Roman" w:cs="Arial"/>
          <w:sz w:val="22"/>
        </w:rPr>
      </w:pPr>
      <w:r>
        <w:rPr>
          <w:rFonts w:eastAsia="Times New Roman" w:cs="Arial" w:ascii="Arial" w:hAnsi="Arial"/>
          <w:sz w:val="22"/>
        </w:rPr>
        <w:t>Les permanences prescrites par l’arrêté d’organisation de l’enquête, se sont déroulées comme prévu, le commissaire enquêteur n’a eu à rapporter aucun incident qui aurait pu perturber le bon déroulement de l’enquête, et chacun a pu s’exprimer librement, aux dates suivantes :</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Normal"/>
        <w:spacing w:lineRule="auto" w:line="247" w:before="0" w:after="5"/>
        <w:jc w:val="both"/>
        <w:rPr>
          <w:rFonts w:ascii="Arial" w:hAnsi="Arial" w:eastAsia="Times New Roman" w:cs="Arial"/>
          <w:sz w:val="22"/>
          <w:u w:val="single"/>
        </w:rPr>
      </w:pPr>
      <w:r>
        <w:rPr>
          <w:rFonts w:eastAsia="Times New Roman" w:cs="Arial" w:ascii="Arial" w:hAnsi="Arial"/>
          <w:sz w:val="22"/>
          <w:u w:val="single"/>
        </w:rPr>
        <w:t>Permanences en présentiel</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ListParagraph"/>
        <w:numPr>
          <w:ilvl w:val="0"/>
          <w:numId w:val="3"/>
        </w:numPr>
        <w:spacing w:lineRule="auto" w:line="247" w:before="0" w:after="5"/>
        <w:contextualSpacing/>
        <w:jc w:val="both"/>
        <w:rPr>
          <w:rFonts w:ascii="Arial" w:hAnsi="Arial" w:eastAsia="Times New Roman" w:cs="Arial"/>
          <w:b/>
          <w:b/>
          <w:bCs/>
          <w:sz w:val="22"/>
        </w:rPr>
      </w:pPr>
      <w:r>
        <w:rPr>
          <w:rFonts w:eastAsia="Times New Roman" w:cs="Arial" w:ascii="Arial" w:hAnsi="Arial"/>
          <w:b/>
          <w:bCs/>
          <w:sz w:val="22"/>
        </w:rPr>
        <w:t>lundi 29 janvier 2024 de 9h00 à 12h00</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t>A cette date d’ouverture, au cours de laquelle, Monsieur le Maire a ouvert le registre parcellaire, Madame Benoit, directrice de l’urbanisme et Madame Defouloy, responsable du service foncier,se sont assurées de la bonne installation du commissaire enquêteur et de la mise à disposition du public des dossiers prescrits par l’arrêté.</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Normal"/>
        <w:spacing w:lineRule="auto" w:line="247" w:before="0" w:after="5"/>
        <w:jc w:val="both"/>
        <w:rPr>
          <w:rFonts w:ascii="Arial" w:hAnsi="Arial" w:eastAsia="Times New Roman" w:cs="Arial"/>
          <w:sz w:val="22"/>
        </w:rPr>
      </w:pPr>
      <w:r>
        <w:rPr>
          <w:rFonts w:eastAsia="Times New Roman" w:cs="Arial" w:ascii="Arial" w:hAnsi="Arial"/>
          <w:sz w:val="22"/>
        </w:rPr>
        <w:t xml:space="preserve">Le commissaire enquêteur n’a reçu aucune visite ni observation écrite. </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t>La permanence est close à 12h00.</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ListParagraph"/>
        <w:numPr>
          <w:ilvl w:val="0"/>
          <w:numId w:val="3"/>
        </w:numPr>
        <w:spacing w:lineRule="auto" w:line="247" w:before="0" w:after="5"/>
        <w:contextualSpacing/>
        <w:jc w:val="both"/>
        <w:rPr>
          <w:rFonts w:ascii="Arial" w:hAnsi="Arial" w:eastAsia="Times New Roman" w:cs="Arial"/>
          <w:sz w:val="22"/>
        </w:rPr>
      </w:pPr>
      <w:r>
        <w:rPr>
          <w:rFonts w:eastAsia="Times New Roman" w:cs="Arial" w:ascii="Arial" w:hAnsi="Arial"/>
          <w:b/>
          <w:bCs/>
          <w:sz w:val="22"/>
        </w:rPr>
        <w:t>lundi 5 février 2024 de 14h30 à 17h30</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t>Le commissaire enquêteur a reçu la visite de Monsieur GULUKYAN et de son conseil, Maître CHIROUZE, notaire à Paris (Etude SAS 8</w:t>
      </w:r>
      <w:r>
        <w:rPr>
          <w:rFonts w:eastAsia="Times New Roman" w:cs="Arial" w:ascii="Arial" w:hAnsi="Arial"/>
          <w:sz w:val="22"/>
          <w:vertAlign w:val="superscript"/>
        </w:rPr>
        <w:t>ème</w:t>
      </w:r>
      <w:r>
        <w:rPr>
          <w:rFonts w:eastAsia="Times New Roman" w:cs="Arial" w:ascii="Arial" w:hAnsi="Arial"/>
          <w:sz w:val="22"/>
        </w:rPr>
        <w:t xml:space="preserve"> Acte, 16 cours Albert 1</w:t>
      </w:r>
      <w:r>
        <w:rPr>
          <w:rFonts w:eastAsia="Times New Roman" w:cs="Arial" w:ascii="Arial" w:hAnsi="Arial"/>
          <w:sz w:val="22"/>
          <w:vertAlign w:val="superscript"/>
        </w:rPr>
        <w:t>er</w:t>
      </w:r>
      <w:r>
        <w:rPr>
          <w:rFonts w:eastAsia="Times New Roman" w:cs="Arial" w:ascii="Arial" w:hAnsi="Arial"/>
          <w:sz w:val="22"/>
        </w:rPr>
        <w:t xml:space="preserve"> 75008 PARIS).</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t xml:space="preserve">Monsieur GULUKYAN est l’un des deux copropriétaires indivis n’ayant pas souhaité signer un accord amiable avec la ville de Gonesse. </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t xml:space="preserve">Le commissaire enquêteur a exposé brièvement le principe de la procédure d’enquête. Il lui a rappelé aussi les termes de l’article L.311-2 du code de l’expropriation. </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t>Il l’a ensuite écouté et lui a proposé d’inscrire lui-même ses remarques sur le registre.</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t>Monsieur GULUKYAN a déposé une observation en huit points, en son nom et en celui de son épouse, sur le registre Expropriation avec une mention renvoyant à cette observation sur le registre DUP. Il a par ailleurs remis au commissaire enquêteur les questionnaires dûment remplis, concernant son épouse et lui-même, qui étaient joints au courrier de la ville de Gonesse daté du 23 janvier 2024.</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Normal"/>
        <w:spacing w:lineRule="auto" w:line="247" w:before="0" w:after="5"/>
        <w:jc w:val="both"/>
        <w:rPr>
          <w:rFonts w:ascii="Arial" w:hAnsi="Arial" w:eastAsia="Times New Roman" w:cs="Arial"/>
          <w:sz w:val="22"/>
        </w:rPr>
      </w:pPr>
      <w:r>
        <w:rPr>
          <w:rFonts w:eastAsia="Times New Roman" w:cs="Arial" w:ascii="Arial" w:hAnsi="Arial"/>
          <w:sz w:val="22"/>
        </w:rPr>
        <w:t>Sans autre visite, ni observation écrite, la permanence est close à 17 h 30.</w:t>
      </w:r>
    </w:p>
    <w:p>
      <w:pPr>
        <w:pStyle w:val="ListParagraph"/>
        <w:spacing w:lineRule="auto" w:line="247" w:before="0" w:after="5"/>
        <w:ind w:left="720" w:hanging="0"/>
        <w:contextualSpacing/>
        <w:jc w:val="both"/>
        <w:rPr>
          <w:rFonts w:ascii="Arial" w:hAnsi="Arial" w:eastAsia="Times New Roman" w:cs="Arial"/>
          <w:b/>
          <w:b/>
          <w:bCs/>
          <w:sz w:val="22"/>
        </w:rPr>
      </w:pPr>
      <w:r>
        <w:rPr>
          <w:rFonts w:eastAsia="Times New Roman" w:cs="Arial" w:ascii="Arial" w:hAnsi="Arial"/>
          <w:b/>
          <w:bCs/>
          <w:sz w:val="22"/>
        </w:rPr>
      </w:r>
    </w:p>
    <w:p>
      <w:pPr>
        <w:pStyle w:val="ListParagraph"/>
        <w:numPr>
          <w:ilvl w:val="0"/>
          <w:numId w:val="3"/>
        </w:numPr>
        <w:spacing w:lineRule="auto" w:line="247" w:before="0" w:after="5"/>
        <w:contextualSpacing/>
        <w:jc w:val="both"/>
        <w:rPr>
          <w:rFonts w:ascii="Arial" w:hAnsi="Arial" w:eastAsia="Times New Roman" w:cs="Arial"/>
          <w:b/>
          <w:b/>
          <w:bCs/>
          <w:sz w:val="22"/>
        </w:rPr>
      </w:pPr>
      <w:r>
        <w:rPr>
          <w:rFonts w:eastAsia="Times New Roman" w:cs="Arial" w:ascii="Arial" w:hAnsi="Arial"/>
          <w:b/>
          <w:bCs/>
          <w:sz w:val="22"/>
        </w:rPr>
        <w:t>lundi 12 février 2024 de 14h30 à 17h30</w:t>
      </w:r>
    </w:p>
    <w:p>
      <w:pPr>
        <w:pStyle w:val="Normal"/>
        <w:spacing w:lineRule="auto" w:line="247" w:before="0" w:after="5"/>
        <w:jc w:val="both"/>
        <w:rPr>
          <w:rFonts w:ascii="Arial" w:hAnsi="Arial" w:eastAsia="Times New Roman" w:cs="Arial"/>
          <w:b/>
          <w:b/>
          <w:bCs/>
          <w:sz w:val="22"/>
        </w:rPr>
      </w:pPr>
      <w:r>
        <w:rPr>
          <w:rFonts w:eastAsia="Times New Roman" w:cs="Arial" w:ascii="Arial" w:hAnsi="Arial"/>
          <w:b/>
          <w:bCs/>
          <w:sz w:val="22"/>
        </w:rPr>
      </w:r>
    </w:p>
    <w:p>
      <w:pPr>
        <w:pStyle w:val="Normal"/>
        <w:spacing w:lineRule="auto" w:line="247" w:before="0" w:after="5"/>
        <w:jc w:val="both"/>
        <w:rPr>
          <w:rFonts w:ascii="Arial" w:hAnsi="Arial" w:eastAsia="Times New Roman" w:cs="Arial"/>
          <w:sz w:val="22"/>
        </w:rPr>
      </w:pPr>
      <w:r>
        <w:rPr>
          <w:rFonts w:eastAsia="Times New Roman" w:cs="Arial" w:ascii="Arial" w:hAnsi="Arial"/>
          <w:sz w:val="22"/>
        </w:rPr>
        <w:t>Le commissaire enquêteur n’a reçu aucune visite ni observation écrite.</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Normal"/>
        <w:spacing w:lineRule="auto" w:line="247" w:before="0" w:after="5"/>
        <w:jc w:val="both"/>
        <w:rPr>
          <w:rFonts w:ascii="Arial" w:hAnsi="Arial" w:eastAsia="Times New Roman" w:cs="Arial"/>
          <w:sz w:val="22"/>
        </w:rPr>
      </w:pPr>
      <w:r>
        <w:rPr>
          <w:rFonts w:eastAsia="Times New Roman" w:cs="Arial" w:ascii="Arial" w:hAnsi="Arial"/>
          <w:sz w:val="22"/>
        </w:rPr>
        <w:t>La permanence est close à 17h30.</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Normal"/>
        <w:spacing w:lineRule="auto" w:line="247" w:before="0" w:after="5"/>
        <w:ind w:left="0" w:hanging="0"/>
        <w:jc w:val="both"/>
        <w:rPr>
          <w:rFonts w:ascii="Arial" w:hAnsi="Arial" w:eastAsia="Times New Roman" w:cs="Arial"/>
          <w:b/>
          <w:b/>
          <w:bCs/>
          <w:sz w:val="22"/>
        </w:rPr>
      </w:pPr>
      <w:r>
        <w:rPr>
          <w:rFonts w:eastAsia="Times New Roman" w:cs="Arial" w:ascii="Arial" w:hAnsi="Arial"/>
          <w:b/>
          <w:bCs/>
          <w:sz w:val="22"/>
        </w:rPr>
        <w:t>Pendant toute la durée de l’enquête, les dossiers et registres DUP et Parcellaire sont restés à la disposition du public dans les locaux du service Urbanisme de la ville de Gonesse, bâtiment PAGS, 4 place du Général de Gaulle 95500 GONESSE, les lundi, mercredi, jeudi et vendredi de 9h00 à 12h00 et de 13h30 à 17h30, ainsi que le mardi de 13h30 à 17h30.</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bookmarkStart w:id="11" w:name="_Hlk108884454"/>
      <w:bookmarkStart w:id="12" w:name="_Hlk108884454"/>
      <w:bookmarkEnd w:id="12"/>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ListParagraph"/>
        <w:numPr>
          <w:ilvl w:val="1"/>
          <w:numId w:val="39"/>
        </w:numPr>
        <w:spacing w:lineRule="auto" w:line="247" w:before="0" w:after="5"/>
        <w:contextualSpacing/>
        <w:jc w:val="both"/>
        <w:rPr>
          <w:rFonts w:ascii="Arial" w:hAnsi="Arial" w:eastAsia="Times New Roman" w:cs="Arial"/>
          <w:b/>
          <w:b/>
          <w:bCs/>
          <w:sz w:val="22"/>
        </w:rPr>
      </w:pPr>
      <w:r>
        <w:rPr>
          <w:rFonts w:eastAsia="Times New Roman" w:cs="Arial" w:ascii="Arial" w:hAnsi="Arial"/>
          <w:b/>
          <w:bCs/>
          <w:sz w:val="22"/>
        </w:rPr>
        <w:t>Comptabilisation des observations.</w:t>
      </w:r>
    </w:p>
    <w:p>
      <w:pPr>
        <w:pStyle w:val="Normal"/>
        <w:spacing w:lineRule="auto" w:line="247" w:before="0" w:after="5"/>
        <w:jc w:val="both"/>
        <w:rPr>
          <w:rFonts w:ascii="Arial" w:hAnsi="Arial" w:eastAsia="Times New Roman" w:cs="Arial"/>
          <w:sz w:val="22"/>
        </w:rPr>
      </w:pPr>
      <w:r>
        <w:rPr>
          <w:rFonts w:eastAsia="Times New Roman" w:cs="Arial" w:ascii="Arial" w:hAnsi="Arial"/>
          <w:sz w:val="22"/>
        </w:rPr>
      </w:r>
    </w:p>
    <w:p>
      <w:pPr>
        <w:pStyle w:val="Normal"/>
        <w:jc w:val="both"/>
        <w:rPr>
          <w:rFonts w:ascii="Arial" w:hAnsi="Arial" w:cs="Arial"/>
          <w:bCs/>
          <w:i/>
          <w:i/>
          <w:iCs/>
          <w:color w:val="auto"/>
          <w:sz w:val="22"/>
        </w:rPr>
      </w:pPr>
      <w:r>
        <w:rPr>
          <w:rFonts w:cs="Arial" w:ascii="Arial" w:hAnsi="Arial"/>
          <w:bCs/>
          <w:iCs/>
          <w:color w:val="auto"/>
          <w:sz w:val="22"/>
        </w:rPr>
        <w:t>Nombre d'observations et de courriers portés aux registres : 1</w:t>
      </w:r>
    </w:p>
    <w:p>
      <w:pPr>
        <w:pStyle w:val="Normal"/>
        <w:jc w:val="both"/>
        <w:rPr>
          <w:rFonts w:ascii="Arial" w:hAnsi="Arial" w:cs="Arial"/>
          <w:bCs/>
          <w:i/>
          <w:i/>
          <w:iCs/>
          <w:color w:val="auto"/>
          <w:sz w:val="22"/>
        </w:rPr>
      </w:pPr>
      <w:r>
        <w:rPr>
          <w:rFonts w:cs="Arial" w:ascii="Arial" w:hAnsi="Arial"/>
          <w:bCs/>
          <w:iCs/>
          <w:color w:val="auto"/>
          <w:sz w:val="22"/>
        </w:rPr>
        <w:t>dont :</w:t>
        <w:tab/>
      </w:r>
    </w:p>
    <w:p>
      <w:pPr>
        <w:pStyle w:val="Normal"/>
        <w:widowControl w:val="false"/>
        <w:numPr>
          <w:ilvl w:val="1"/>
          <w:numId w:val="10"/>
        </w:numPr>
        <w:spacing w:lineRule="auto" w:line="240" w:before="0" w:after="0"/>
        <w:jc w:val="both"/>
        <w:rPr>
          <w:rFonts w:ascii="Arial" w:hAnsi="Arial" w:cs="Arial"/>
          <w:bCs/>
          <w:i/>
          <w:i/>
          <w:iCs/>
          <w:color w:val="auto"/>
          <w:sz w:val="22"/>
        </w:rPr>
      </w:pPr>
      <w:r>
        <w:rPr>
          <w:rFonts w:cs="Arial" w:ascii="Arial" w:hAnsi="Arial"/>
          <w:bCs/>
          <w:iCs/>
          <w:color w:val="auto"/>
          <w:sz w:val="22"/>
        </w:rPr>
        <w:t xml:space="preserve">au </w:t>
      </w:r>
      <w:bookmarkStart w:id="13" w:name="_Hlk53518859"/>
      <w:r>
        <w:rPr>
          <w:rFonts w:cs="Arial" w:ascii="Arial" w:hAnsi="Arial"/>
          <w:bCs/>
          <w:iCs/>
          <w:color w:val="auto"/>
          <w:sz w:val="22"/>
        </w:rPr>
        <w:t>registre papier</w:t>
      </w:r>
      <w:r>
        <w:rPr/>
        <w:t xml:space="preserve"> </w:t>
      </w:r>
      <w:r>
        <w:rPr>
          <w:rFonts w:cs="Arial" w:ascii="Arial" w:hAnsi="Arial"/>
          <w:bCs/>
          <w:iCs/>
          <w:color w:val="auto"/>
          <w:sz w:val="22"/>
        </w:rPr>
        <w:t xml:space="preserve">DUP </w:t>
      </w:r>
      <w:bookmarkEnd w:id="13"/>
      <w:r>
        <w:rPr>
          <w:rFonts w:cs="Arial" w:ascii="Arial" w:hAnsi="Arial"/>
          <w:bCs/>
          <w:iCs/>
          <w:color w:val="auto"/>
          <w:sz w:val="22"/>
        </w:rPr>
        <w:t xml:space="preserve">de la mairie de Gonesse : 1 </w:t>
      </w:r>
    </w:p>
    <w:p>
      <w:pPr>
        <w:pStyle w:val="ListParagraph"/>
        <w:widowControl w:val="false"/>
        <w:numPr>
          <w:ilvl w:val="1"/>
          <w:numId w:val="10"/>
        </w:numPr>
        <w:spacing w:lineRule="auto" w:line="240" w:before="0" w:after="0"/>
        <w:rPr>
          <w:rFonts w:ascii="Arial" w:hAnsi="Arial" w:cs="Arial"/>
          <w:bCs/>
          <w:iCs/>
        </w:rPr>
      </w:pPr>
      <w:r>
        <w:rPr>
          <w:rFonts w:cs="Arial" w:ascii="Arial" w:hAnsi="Arial"/>
          <w:bCs/>
          <w:iCs/>
        </w:rPr>
        <w:t>au registre papier parcellaire de la mairie de Gonesse : 1</w:t>
      </w:r>
      <w:bookmarkStart w:id="14" w:name="_Hlk79342152"/>
      <w:bookmarkEnd w:id="14"/>
    </w:p>
    <w:p>
      <w:pPr>
        <w:pStyle w:val="Normal"/>
        <w:spacing w:before="0" w:after="0"/>
        <w:jc w:val="both"/>
        <w:rPr>
          <w:rFonts w:ascii="Arial" w:hAnsi="Arial" w:cs="Arial"/>
          <w:b/>
          <w:b/>
          <w:color w:val="auto"/>
          <w:sz w:val="22"/>
        </w:rPr>
      </w:pPr>
      <w:r>
        <w:rPr>
          <w:rFonts w:cs="Arial" w:ascii="Arial" w:hAnsi="Arial"/>
          <w:b/>
          <w:color w:val="auto"/>
          <w:sz w:val="22"/>
        </w:rPr>
      </w:r>
    </w:p>
    <w:p>
      <w:pPr>
        <w:pStyle w:val="Normal"/>
        <w:jc w:val="both"/>
        <w:rPr>
          <w:rFonts w:ascii="Arial" w:hAnsi="Arial" w:cs="Arial"/>
          <w:bCs/>
          <w:color w:val="auto"/>
          <w:sz w:val="22"/>
        </w:rPr>
      </w:pPr>
      <w:r>
        <w:rPr>
          <w:rFonts w:cs="Arial" w:ascii="Arial" w:hAnsi="Arial"/>
          <w:bCs/>
          <w:color w:val="auto"/>
          <w:sz w:val="22"/>
        </w:rPr>
        <w:t>Soit, 2 observations dont :</w:t>
      </w:r>
    </w:p>
    <w:p>
      <w:pPr>
        <w:pStyle w:val="ListParagraph"/>
        <w:numPr>
          <w:ilvl w:val="0"/>
          <w:numId w:val="3"/>
        </w:numPr>
        <w:jc w:val="both"/>
        <w:rPr>
          <w:rFonts w:ascii="Arial" w:hAnsi="Arial" w:cs="Arial"/>
          <w:bCs/>
          <w:color w:val="auto"/>
          <w:sz w:val="22"/>
        </w:rPr>
      </w:pPr>
      <w:r>
        <w:rPr>
          <w:rFonts w:cs="Arial" w:ascii="Arial" w:hAnsi="Arial"/>
          <w:bCs/>
          <w:color w:val="auto"/>
          <w:sz w:val="22"/>
        </w:rPr>
        <w:t>une observations en 8 points sur le registre parcellaire (expropriation),</w:t>
      </w:r>
    </w:p>
    <w:p>
      <w:pPr>
        <w:pStyle w:val="ListParagraph"/>
        <w:numPr>
          <w:ilvl w:val="0"/>
          <w:numId w:val="3"/>
        </w:numPr>
        <w:jc w:val="both"/>
        <w:rPr>
          <w:rFonts w:ascii="Arial" w:hAnsi="Arial" w:cs="Arial"/>
          <w:bCs/>
          <w:color w:val="auto"/>
          <w:sz w:val="22"/>
        </w:rPr>
      </w:pPr>
      <w:r>
        <w:rPr>
          <w:rFonts w:cs="Arial" w:ascii="Arial" w:hAnsi="Arial"/>
          <w:bCs/>
          <w:color w:val="auto"/>
          <w:sz w:val="22"/>
        </w:rPr>
        <w:t>une mention sur le registre DUP, renvoyant à l’observation figurant sur le registre parcellaire (expropriation).</w:t>
      </w:r>
    </w:p>
    <w:p>
      <w:pPr>
        <w:pStyle w:val="ListParagraph"/>
        <w:numPr>
          <w:ilvl w:val="0"/>
          <w:numId w:val="3"/>
        </w:numPr>
        <w:jc w:val="both"/>
        <w:rPr>
          <w:rFonts w:ascii="Arial" w:hAnsi="Arial" w:cs="Arial"/>
          <w:bCs/>
          <w:color w:val="auto"/>
          <w:sz w:val="22"/>
        </w:rPr>
      </w:pPr>
      <w:r>
        <w:rPr>
          <w:rFonts w:cs="Arial" w:ascii="Arial" w:hAnsi="Arial"/>
          <w:bCs/>
          <w:color w:val="auto"/>
          <w:sz w:val="22"/>
        </w:rPr>
      </w:r>
    </w:p>
    <w:p>
      <w:pPr>
        <w:pStyle w:val="ListParagraph"/>
        <w:numPr>
          <w:ilvl w:val="1"/>
          <w:numId w:val="39"/>
        </w:numPr>
        <w:spacing w:before="0" w:after="0"/>
        <w:contextualSpacing/>
        <w:rPr>
          <w:rFonts w:ascii="Arial" w:hAnsi="Arial" w:eastAsia="Times New Roman" w:cs="Arial"/>
          <w:sz w:val="22"/>
        </w:rPr>
      </w:pPr>
      <w:r>
        <w:rPr>
          <w:rFonts w:eastAsia="Times New Roman" w:cs="Arial" w:ascii="Arial" w:hAnsi="Arial"/>
          <w:b/>
          <w:bCs/>
          <w:sz w:val="22"/>
        </w:rPr>
        <w:t>Clôture de l’enquête</w:t>
      </w:r>
      <w:r>
        <w:rPr>
          <w:rFonts w:eastAsia="Times New Roman" w:cs="Arial" w:ascii="Arial" w:hAnsi="Arial"/>
          <w:sz w:val="22"/>
        </w:rPr>
        <w:t>.</w:t>
      </w:r>
    </w:p>
    <w:p>
      <w:pPr>
        <w:pStyle w:val="Normal"/>
        <w:spacing w:before="0" w:after="0"/>
        <w:rPr>
          <w:rFonts w:ascii="Arial" w:hAnsi="Arial" w:eastAsia="Times New Roman" w:cs="Arial"/>
          <w:sz w:val="22"/>
        </w:rPr>
      </w:pPr>
      <w:r>
        <w:rPr>
          <w:rFonts w:eastAsia="Times New Roman" w:cs="Arial" w:ascii="Arial" w:hAnsi="Arial"/>
          <w:sz w:val="22"/>
        </w:rPr>
      </w:r>
    </w:p>
    <w:p>
      <w:pPr>
        <w:pStyle w:val="Normal"/>
        <w:widowControl w:val="false"/>
        <w:spacing w:lineRule="auto" w:line="240" w:before="0" w:after="0"/>
        <w:ind w:left="0" w:hanging="0"/>
        <w:jc w:val="both"/>
        <w:rPr>
          <w:rFonts w:ascii="Arial" w:hAnsi="Arial" w:eastAsia="Calibri" w:cs="Arial"/>
          <w:iCs/>
          <w:color w:val="auto"/>
          <w:sz w:val="22"/>
          <w:lang w:eastAsia="en-US"/>
        </w:rPr>
      </w:pPr>
      <w:bookmarkStart w:id="15" w:name="_Hlk79342128"/>
      <w:r>
        <w:rPr>
          <w:rFonts w:eastAsia="Calibri" w:cs="Arial" w:ascii="Arial" w:hAnsi="Arial"/>
          <w:iCs/>
          <w:color w:val="auto"/>
          <w:sz w:val="22"/>
          <w:lang w:eastAsia="en-US"/>
        </w:rPr>
        <w:t xml:space="preserve">A la clôture de l’enquête, </w:t>
      </w:r>
      <w:r>
        <w:rPr>
          <w:rFonts w:eastAsia="Calibri" w:cs="Arial" w:ascii="Arial" w:hAnsi="Arial"/>
          <w:bCs/>
          <w:iCs/>
          <w:color w:val="auto"/>
          <w:sz w:val="22"/>
          <w:lang w:eastAsia="en-US"/>
        </w:rPr>
        <w:t xml:space="preserve">lundi 12 février 2024 </w:t>
      </w:r>
      <w:r>
        <w:rPr>
          <w:rFonts w:eastAsia="Calibri" w:cs="Arial" w:ascii="Arial" w:hAnsi="Arial"/>
          <w:iCs/>
          <w:color w:val="auto"/>
          <w:sz w:val="22"/>
          <w:lang w:eastAsia="en-US"/>
        </w:rPr>
        <w:t xml:space="preserve">à 17h30, conformément à l’arrêté </w:t>
      </w:r>
      <w:r>
        <w:rPr>
          <w:rFonts w:eastAsia="Calibri" w:cs="Arial" w:ascii="Arial" w:hAnsi="Arial"/>
          <w:b/>
          <w:bCs/>
          <w:iCs/>
          <w:color w:val="auto"/>
          <w:sz w:val="22"/>
          <w:lang w:eastAsia="en-US"/>
        </w:rPr>
        <w:t>N°2023-17486 du 10 janvier 2024,</w:t>
      </w:r>
      <w:r>
        <w:rPr>
          <w:rFonts w:eastAsia="Calibri" w:cs="Arial" w:ascii="Arial" w:hAnsi="Arial"/>
          <w:iCs/>
          <w:color w:val="auto"/>
          <w:sz w:val="22"/>
          <w:lang w:eastAsia="en-US"/>
        </w:rPr>
        <w:t xml:space="preserve"> Madame Malika CAUMONT, Première Adjointe au Maire, a procédé, par délégation, à la clôture du registre d’enquête parcellaire et a transmis ce registre avec le dossier d’enquête au commissaire enquêteur.</w:t>
      </w:r>
      <w:bookmarkEnd w:id="15"/>
      <w:r>
        <w:rPr>
          <w:rFonts w:eastAsia="Calibri" w:cs="Arial" w:ascii="Arial" w:hAnsi="Arial"/>
          <w:iCs/>
          <w:color w:val="auto"/>
          <w:sz w:val="22"/>
          <w:lang w:eastAsia="en-US"/>
        </w:rPr>
        <w:t xml:space="preserve"> Le commissaire enquêteur a lui-même clôturé le registre d’enquête de Déclaration d’Utilité Publique (DUP).</w:t>
      </w:r>
    </w:p>
    <w:p>
      <w:pPr>
        <w:pStyle w:val="Normal"/>
        <w:spacing w:before="0" w:after="0"/>
        <w:ind w:left="0" w:hanging="0"/>
        <w:rPr>
          <w:rFonts w:ascii="Arial" w:hAnsi="Arial" w:eastAsia="Times New Roman" w:cs="Arial"/>
          <w:sz w:val="22"/>
        </w:rPr>
      </w:pPr>
      <w:r>
        <w:rPr>
          <w:rFonts w:eastAsia="Times New Roman" w:cs="Arial" w:ascii="Arial" w:hAnsi="Arial"/>
          <w:sz w:val="22"/>
        </w:rPr>
      </w:r>
    </w:p>
    <w:p>
      <w:pPr>
        <w:pStyle w:val="Normal"/>
        <w:spacing w:before="0" w:after="0"/>
        <w:ind w:left="0" w:hanging="0"/>
        <w:rPr>
          <w:rFonts w:ascii="Arial" w:hAnsi="Arial" w:eastAsia="Times New Roman" w:cs="Arial"/>
          <w:sz w:val="22"/>
        </w:rPr>
      </w:pPr>
      <w:r>
        <w:rPr>
          <w:rFonts w:eastAsia="Times New Roman" w:cs="Arial" w:ascii="Arial" w:hAnsi="Arial"/>
          <w:sz w:val="22"/>
        </w:rPr>
      </w:r>
    </w:p>
    <w:p>
      <w:pPr>
        <w:pStyle w:val="Normal"/>
        <w:spacing w:before="0" w:after="0"/>
        <w:ind w:left="0" w:hanging="0"/>
        <w:rPr>
          <w:rFonts w:ascii="Arial" w:hAnsi="Arial" w:eastAsia="Times New Roman" w:cs="Arial"/>
          <w:sz w:val="22"/>
        </w:rPr>
      </w:pPr>
      <w:r>
        <w:rPr>
          <w:rFonts w:eastAsia="Times New Roman" w:cs="Arial" w:ascii="Arial" w:hAnsi="Arial"/>
          <w:sz w:val="22"/>
        </w:rPr>
      </w:r>
    </w:p>
    <w:p>
      <w:pPr>
        <w:pStyle w:val="ListParagraph"/>
        <w:numPr>
          <w:ilvl w:val="0"/>
          <w:numId w:val="39"/>
        </w:numPr>
        <w:spacing w:lineRule="auto" w:line="259" w:before="0" w:after="0"/>
        <w:contextualSpacing/>
        <w:jc w:val="both"/>
        <w:rPr>
          <w:rFonts w:ascii="Arial" w:hAnsi="Arial" w:eastAsia="Times New Roman" w:cs="Arial"/>
          <w:b/>
          <w:b/>
          <w:sz w:val="22"/>
        </w:rPr>
      </w:pPr>
      <w:r>
        <w:rPr>
          <w:rFonts w:eastAsia="Times New Roman" w:cs="Arial" w:ascii="Arial" w:hAnsi="Arial"/>
          <w:b/>
          <w:sz w:val="22"/>
        </w:rPr>
        <w:t>Analyse des observations de Monsieur GULUKYAN</w:t>
      </w:r>
    </w:p>
    <w:p>
      <w:pPr>
        <w:pStyle w:val="Normal"/>
        <w:spacing w:lineRule="auto" w:line="259" w:before="0" w:after="0"/>
        <w:ind w:left="0" w:hanging="0"/>
        <w:jc w:val="both"/>
        <w:rPr>
          <w:rFonts w:ascii="Arial" w:hAnsi="Arial" w:eastAsia="Times New Roman" w:cs="Arial"/>
          <w:sz w:val="22"/>
        </w:rPr>
      </w:pPr>
      <w:r>
        <w:rPr>
          <w:rFonts w:eastAsia="Times New Roman" w:cs="Arial" w:ascii="Arial" w:hAnsi="Arial"/>
          <w:sz w:val="22"/>
        </w:rPr>
      </w:r>
    </w:p>
    <w:p>
      <w:pPr>
        <w:pStyle w:val="Normal"/>
        <w:rPr>
          <w:rFonts w:ascii="Arial" w:hAnsi="Arial" w:cs="Arial"/>
          <w:sz w:val="22"/>
        </w:rPr>
      </w:pPr>
      <w:r>
        <w:rPr>
          <w:rFonts w:cs="Arial" w:ascii="Arial" w:hAnsi="Arial"/>
          <w:sz w:val="22"/>
        </w:rPr>
        <w:t>Mr Harutyun GLUKYAN, accompagné de son conseil Maître Christophe Chirouze, notaire à Paris (Etude SAS 8</w:t>
      </w:r>
      <w:r>
        <w:rPr>
          <w:rFonts w:cs="Arial" w:ascii="Arial" w:hAnsi="Arial"/>
          <w:sz w:val="22"/>
          <w:vertAlign w:val="superscript"/>
        </w:rPr>
        <w:t>ème</w:t>
      </w:r>
      <w:r>
        <w:rPr>
          <w:rFonts w:cs="Arial" w:ascii="Arial" w:hAnsi="Arial"/>
          <w:sz w:val="22"/>
        </w:rPr>
        <w:t xml:space="preserve"> Acte, 16 cours Albert 1</w:t>
      </w:r>
      <w:r>
        <w:rPr>
          <w:rFonts w:cs="Arial" w:ascii="Arial" w:hAnsi="Arial"/>
          <w:sz w:val="22"/>
          <w:vertAlign w:val="superscript"/>
        </w:rPr>
        <w:t>er</w:t>
      </w:r>
      <w:r>
        <w:rPr>
          <w:rFonts w:cs="Arial" w:ascii="Arial" w:hAnsi="Arial"/>
          <w:sz w:val="22"/>
        </w:rPr>
        <w:t xml:space="preserve"> 75008 PARIS), s’est présenté lors de la permanence du 5 février 2024. Il avait consulté et copié les dossiers disponibles sur le site de la Préfecture du Val d’Oise et a déposé ses observations sur les deux registres mis à disposition du public.</w:t>
      </w:r>
    </w:p>
    <w:p>
      <w:pPr>
        <w:pStyle w:val="Normal"/>
        <w:rPr>
          <w:rFonts w:ascii="Arial" w:hAnsi="Arial" w:cs="Arial"/>
          <w:sz w:val="22"/>
        </w:rPr>
      </w:pPr>
      <w:r>
        <w:rPr>
          <w:rFonts w:cs="Arial" w:ascii="Arial" w:hAnsi="Arial"/>
          <w:sz w:val="22"/>
        </w:rPr>
        <w:t xml:space="preserve">Une copie des registres (pages 2, DUP &amp; Parcellaire) est jointe en annexe du rapport. </w:t>
      </w:r>
    </w:p>
    <w:p>
      <w:pPr>
        <w:pStyle w:val="ListParagraph"/>
        <w:numPr>
          <w:ilvl w:val="0"/>
          <w:numId w:val="21"/>
        </w:numPr>
        <w:spacing w:lineRule="auto" w:line="240" w:before="0" w:after="0"/>
        <w:contextualSpacing/>
        <w:rPr>
          <w:rFonts w:ascii="Arial" w:hAnsi="Arial" w:cs="Arial"/>
          <w:sz w:val="22"/>
        </w:rPr>
      </w:pPr>
      <w:r>
        <w:rPr>
          <w:rFonts w:cs="Arial" w:ascii="Arial" w:hAnsi="Arial"/>
          <w:sz w:val="22"/>
        </w:rPr>
        <w:t>Dans le registre DUP : une observation qui renvoie à l’observation rédigée dans le registre Parcellaire.</w:t>
      </w:r>
    </w:p>
    <w:p>
      <w:pPr>
        <w:pStyle w:val="ListParagraph"/>
        <w:numPr>
          <w:ilvl w:val="0"/>
          <w:numId w:val="21"/>
        </w:numPr>
        <w:spacing w:lineRule="auto" w:line="240" w:before="0" w:after="0"/>
        <w:contextualSpacing/>
        <w:rPr>
          <w:rFonts w:ascii="Arial" w:hAnsi="Arial" w:cs="Arial"/>
          <w:sz w:val="22"/>
        </w:rPr>
      </w:pPr>
      <w:r>
        <w:rPr>
          <w:rFonts w:cs="Arial" w:ascii="Arial" w:hAnsi="Arial"/>
          <w:sz w:val="22"/>
        </w:rPr>
        <w:t>Dans le registre Parcellaire : une observation en huit points,</w:t>
      </w:r>
    </w:p>
    <w:p>
      <w:pPr>
        <w:pStyle w:val="Normal"/>
        <w:spacing w:lineRule="auto" w:line="240" w:before="0" w:after="0"/>
        <w:ind w:left="720" w:hanging="0"/>
        <w:rPr>
          <w:rFonts w:ascii="Arial" w:hAnsi="Arial" w:cs="Arial"/>
          <w:sz w:val="22"/>
        </w:rPr>
      </w:pPr>
      <w:r>
        <w:rPr>
          <w:rFonts w:cs="Arial" w:ascii="Arial" w:hAnsi="Arial"/>
          <w:sz w:val="22"/>
        </w:rPr>
      </w:r>
    </w:p>
    <w:p>
      <w:pPr>
        <w:pStyle w:val="Normal"/>
        <w:rPr>
          <w:rFonts w:ascii="Arial" w:hAnsi="Arial" w:cs="Arial"/>
          <w:sz w:val="22"/>
        </w:rPr>
      </w:pPr>
      <w:r>
        <w:rPr>
          <w:rFonts w:cs="Arial" w:ascii="Arial" w:hAnsi="Arial"/>
          <w:sz w:val="22"/>
        </w:rPr>
        <w:t>Après analyse, voici les remarques du commissaire enquêteur. Celles-ci ont été discutées lors d’une réunion qui s’est tenue en Mairie de GONESSE le 8 mars 2024 avec Monsieur Cauro, Maire adjoint à l’Urbanisme, qui a précisé la position de la ville. Celle-ci est mentionnée en caractère gras à la suite des remarques du commissaire enquêteur.</w:t>
      </w:r>
    </w:p>
    <w:p>
      <w:pPr>
        <w:pStyle w:val="Normal"/>
        <w:rPr>
          <w:rFonts w:ascii="Arial" w:hAnsi="Arial" w:cs="Arial"/>
          <w:sz w:val="22"/>
        </w:rPr>
      </w:pPr>
      <w:r>
        <w:rPr>
          <w:rFonts w:cs="Arial" w:ascii="Arial" w:hAnsi="Arial"/>
          <w:sz w:val="22"/>
        </w:rPr>
      </w:r>
    </w:p>
    <w:p>
      <w:pPr>
        <w:pStyle w:val="ListParagraph"/>
        <w:numPr>
          <w:ilvl w:val="0"/>
          <w:numId w:val="22"/>
        </w:numPr>
        <w:spacing w:lineRule="auto" w:line="240" w:before="0" w:after="0"/>
        <w:contextualSpacing/>
        <w:rPr>
          <w:rFonts w:ascii="Arial" w:hAnsi="Arial" w:cs="Arial"/>
          <w:b/>
          <w:b/>
          <w:bCs/>
          <w:i/>
          <w:i/>
          <w:iCs/>
          <w:sz w:val="22"/>
        </w:rPr>
      </w:pPr>
      <w:r>
        <w:rPr>
          <w:rFonts w:cs="Arial" w:ascii="Arial" w:hAnsi="Arial"/>
          <w:b/>
          <w:bCs/>
          <w:i/>
          <w:iCs/>
          <w:sz w:val="22"/>
        </w:rPr>
        <w:t>« L’opération va concourir à une artificialisation des sols complémentaires »</w:t>
      </w:r>
    </w:p>
    <w:p>
      <w:pPr>
        <w:pStyle w:val="ListParagraph"/>
        <w:spacing w:lineRule="auto" w:line="240" w:before="0" w:after="0"/>
        <w:ind w:left="643" w:hanging="0"/>
        <w:contextualSpacing/>
        <w:rPr>
          <w:rFonts w:ascii="Arial" w:hAnsi="Arial" w:cs="Arial"/>
          <w:b/>
          <w:b/>
          <w:bCs/>
          <w:i/>
          <w:i/>
          <w:iCs/>
          <w:sz w:val="22"/>
        </w:rPr>
      </w:pPr>
      <w:r>
        <w:rPr>
          <w:rFonts w:cs="Arial" w:ascii="Arial" w:hAnsi="Arial"/>
          <w:b/>
          <w:bCs/>
          <w:i/>
          <w:iCs/>
          <w:sz w:val="22"/>
        </w:rPr>
      </w:r>
    </w:p>
    <w:p>
      <w:pPr>
        <w:pStyle w:val="Normal"/>
        <w:rPr>
          <w:rFonts w:ascii="Arial" w:hAnsi="Arial" w:cs="Arial"/>
          <w:b/>
          <w:b/>
          <w:bCs/>
          <w:sz w:val="22"/>
        </w:rPr>
      </w:pPr>
      <w:r>
        <w:rPr>
          <w:rFonts w:cs="Arial" w:ascii="Arial" w:hAnsi="Arial"/>
          <w:b/>
          <w:bCs/>
          <w:i/>
          <w:iCs/>
          <w:sz w:val="22"/>
          <w:u w:val="single"/>
        </w:rPr>
        <w:t>Remarques du commissaire enquêteur (CE)</w:t>
      </w:r>
      <w:r>
        <w:rPr>
          <w:rFonts w:cs="Arial" w:ascii="Arial" w:hAnsi="Arial"/>
          <w:b/>
          <w:bCs/>
          <w:sz w:val="22"/>
        </w:rPr>
        <w:t xml:space="preserve"> : </w:t>
      </w:r>
    </w:p>
    <w:p>
      <w:pPr>
        <w:pStyle w:val="Normal"/>
        <w:ind w:left="21" w:hanging="0"/>
        <w:rPr>
          <w:rFonts w:ascii="Arial" w:hAnsi="Arial" w:cs="Arial"/>
          <w:sz w:val="22"/>
        </w:rPr>
      </w:pPr>
      <w:r>
        <w:rPr>
          <w:rFonts w:cs="Arial" w:ascii="Arial" w:hAnsi="Arial"/>
          <w:sz w:val="22"/>
        </w:rPr>
        <w:t xml:space="preserve">La notice explicative du dossier DUP précise page 14 que le lotissement aura une surface totale d’environ 12 000 m2 et qu’il est prévu de déplacer la zone d’espaces verts dédiée aux jeux et à l’activité sur des terrains appartenant à la ville à l’angle Jasmins / Kerdavid au nord du site, pour une surface équivalente de 1 650 m2 (p 14 &amp; 25). </w:t>
      </w:r>
    </w:p>
    <w:p>
      <w:pPr>
        <w:pStyle w:val="Normal"/>
        <w:rPr>
          <w:rFonts w:ascii="Arial" w:hAnsi="Arial" w:cs="Arial"/>
          <w:sz w:val="22"/>
        </w:rPr>
      </w:pPr>
      <w:r>
        <w:rPr>
          <w:rFonts w:cs="Arial" w:ascii="Arial" w:hAnsi="Arial"/>
          <w:sz w:val="22"/>
        </w:rPr>
        <w:t xml:space="preserve">Le projet de lotissement prévoit 2 150 m2 d’espaces verts publics et 7 700 m2 d’espaces verts privés avec 3 000 m2 d’emprise au sol des constructions et voirie. </w:t>
      </w:r>
    </w:p>
    <w:p>
      <w:pPr>
        <w:pStyle w:val="Normal"/>
        <w:rPr>
          <w:rFonts w:ascii="Arial" w:hAnsi="Arial" w:cs="Arial"/>
          <w:sz w:val="22"/>
        </w:rPr>
      </w:pPr>
      <w:r>
        <w:rPr>
          <w:rFonts w:cs="Arial" w:ascii="Arial" w:hAnsi="Arial"/>
          <w:sz w:val="22"/>
        </w:rPr>
        <w:t xml:space="preserve">En intégrant les jardins privés sur lesquels il est prévu d’inscrire des zones non aedificandi, les espaces verts publics, les espaces de jeux pour enfants et le boulodrome, occuperont l’essentiel des surfaces dédiées au projet, et le risque d’artificialisation des sols sera très limité. </w:t>
      </w:r>
    </w:p>
    <w:p>
      <w:pPr>
        <w:pStyle w:val="Normal"/>
        <w:rPr>
          <w:rFonts w:ascii="Arial" w:hAnsi="Arial" w:cs="Arial"/>
          <w:sz w:val="22"/>
        </w:rPr>
      </w:pPr>
      <w:r>
        <w:rPr>
          <w:rFonts w:cs="Arial" w:ascii="Arial" w:hAnsi="Arial"/>
          <w:sz w:val="22"/>
        </w:rPr>
        <w:t>Il faut également noter que, dans la situation actuelle, plus de 5 000 m2 ne sont plus entretenus, donc inutilisables et inutilisés par les riverains. Il s’agit donc bien de délaissés qui n’ont plus aucune utilité publique et qui vont être réhabilités dans le cadre du projet proposé.</w:t>
      </w:r>
    </w:p>
    <w:p>
      <w:pPr>
        <w:pStyle w:val="Normal"/>
        <w:ind w:left="0" w:hanging="0"/>
        <w:rPr>
          <w:rFonts w:ascii="Arial" w:hAnsi="Arial" w:cs="Arial"/>
          <w:b/>
          <w:b/>
          <w:bCs/>
          <w:color w:val="auto"/>
          <w:sz w:val="22"/>
        </w:rPr>
      </w:pPr>
      <w:r>
        <w:rPr>
          <w:rFonts w:cs="Arial" w:ascii="Arial" w:hAnsi="Arial"/>
          <w:b/>
          <w:bCs/>
          <w:color w:val="auto"/>
          <w:sz w:val="22"/>
        </w:rPr>
        <w:t>La ville confirme que, loin de conduire à une artificialisation des sols, ce projet va transformer des terrains en friche rendus inutilisables par le voisinage, en espaces publics aménagés et entretenus par la ville où la nature aura toute sa place.</w:t>
      </w:r>
    </w:p>
    <w:p>
      <w:pPr>
        <w:pStyle w:val="Normal"/>
        <w:ind w:left="0" w:hanging="0"/>
        <w:rPr>
          <w:rFonts w:ascii="Arial" w:hAnsi="Arial" w:cs="Arial"/>
          <w:b/>
          <w:b/>
          <w:bCs/>
          <w:color w:val="auto"/>
          <w:sz w:val="22"/>
        </w:rPr>
      </w:pPr>
      <w:r>
        <w:rPr>
          <w:rFonts w:cs="Arial" w:ascii="Arial" w:hAnsi="Arial"/>
          <w:b/>
          <w:bCs/>
          <w:color w:val="auto"/>
          <w:sz w:val="22"/>
        </w:rPr>
      </w:r>
    </w:p>
    <w:p>
      <w:pPr>
        <w:pStyle w:val="ListParagraph"/>
        <w:numPr>
          <w:ilvl w:val="0"/>
          <w:numId w:val="22"/>
        </w:numPr>
        <w:spacing w:lineRule="auto" w:line="240" w:before="0" w:after="0"/>
        <w:contextualSpacing/>
        <w:rPr>
          <w:rFonts w:ascii="Arial" w:hAnsi="Arial" w:cs="Arial"/>
          <w:b/>
          <w:b/>
          <w:bCs/>
          <w:i/>
          <w:i/>
          <w:iCs/>
          <w:sz w:val="22"/>
        </w:rPr>
      </w:pPr>
      <w:r>
        <w:rPr>
          <w:rFonts w:cs="Arial" w:ascii="Arial" w:hAnsi="Arial"/>
          <w:b/>
          <w:bCs/>
          <w:i/>
          <w:iCs/>
          <w:sz w:val="22"/>
        </w:rPr>
        <w:t>« Absence de base de comparaison de prix des terrains voisins »</w:t>
      </w:r>
    </w:p>
    <w:p>
      <w:pPr>
        <w:pStyle w:val="ListParagraph"/>
        <w:ind w:left="643" w:hanging="10"/>
        <w:rPr>
          <w:rFonts w:ascii="Arial" w:hAnsi="Arial" w:cs="Arial"/>
          <w:b/>
          <w:b/>
          <w:bCs/>
          <w:i/>
          <w:i/>
          <w:iCs/>
          <w:sz w:val="22"/>
        </w:rPr>
      </w:pPr>
      <w:r>
        <w:rPr>
          <w:rFonts w:cs="Arial" w:ascii="Arial" w:hAnsi="Arial"/>
          <w:b/>
          <w:bCs/>
          <w:i/>
          <w:iCs/>
          <w:sz w:val="22"/>
        </w:rPr>
      </w:r>
    </w:p>
    <w:p>
      <w:pPr>
        <w:pStyle w:val="Normal"/>
        <w:rPr>
          <w:rFonts w:ascii="Arial" w:hAnsi="Arial" w:cs="Arial"/>
          <w:b/>
          <w:b/>
          <w:bCs/>
          <w:sz w:val="22"/>
        </w:rPr>
      </w:pPr>
      <w:r>
        <w:rPr>
          <w:rFonts w:cs="Arial" w:ascii="Arial" w:hAnsi="Arial"/>
          <w:b/>
          <w:bCs/>
          <w:i/>
          <w:iCs/>
          <w:sz w:val="22"/>
          <w:u w:val="single"/>
        </w:rPr>
        <w:t>Remarques du commissaire enquêteur (CE)</w:t>
      </w:r>
      <w:r>
        <w:rPr>
          <w:rFonts w:cs="Arial" w:ascii="Arial" w:hAnsi="Arial"/>
          <w:b/>
          <w:bCs/>
          <w:sz w:val="22"/>
        </w:rPr>
        <w:t xml:space="preserve"> : </w:t>
      </w:r>
    </w:p>
    <w:p>
      <w:pPr>
        <w:pStyle w:val="Normal"/>
        <w:rPr>
          <w:rFonts w:ascii="Arial" w:hAnsi="Arial" w:cs="Arial"/>
          <w:sz w:val="22"/>
        </w:rPr>
      </w:pPr>
      <w:r>
        <w:rPr>
          <w:rFonts w:cs="Arial" w:ascii="Arial" w:hAnsi="Arial"/>
          <w:sz w:val="22"/>
        </w:rPr>
        <w:t>Comme le veut la loi, les terrains concernés ont fait l’objet de trois évaluations des domaines en 2015, 2017 et 2022 qui sont cohérentes entre elles. La ville ne peut que prendre en compte ces valorisations. La dernière évaluation du juillet 2022 est d’ailleurs clairement mentionnée en page 37 du dossier de déclaration d’utilité publique.</w:t>
      </w:r>
    </w:p>
    <w:p>
      <w:pPr>
        <w:pStyle w:val="Normal"/>
        <w:ind w:left="21" w:hanging="0"/>
        <w:rPr>
          <w:rFonts w:ascii="Arial" w:hAnsi="Arial" w:cs="Arial"/>
          <w:color w:val="auto"/>
          <w:sz w:val="22"/>
        </w:rPr>
      </w:pPr>
      <w:r>
        <w:rPr>
          <w:rFonts w:cs="Arial" w:ascii="Arial" w:hAnsi="Arial"/>
          <w:sz w:val="22"/>
        </w:rPr>
        <w:t xml:space="preserve">Par ailleurs, </w:t>
      </w:r>
      <w:r>
        <w:rPr>
          <w:rFonts w:cs="Arial" w:ascii="Arial" w:hAnsi="Arial"/>
          <w:color w:val="auto"/>
          <w:sz w:val="22"/>
        </w:rPr>
        <w:t>l’indemnisation est basée non pas sur des surfaces mais sur les tantièmes de propriété validés lors de l’assemblée générale de l’ASL de juin 2017. La valorisation du foncier vise à atteindre l’équilibre financier d’un projet dont l’objectif est de mettre en vente des maisons mitoyennes à prix maitrisé, tout en réhabilitant les parties communes dont profite tout le quartier qui sera ainsi revalorisé. Elle a été acceptée par une large majorité de propriétaire.</w:t>
      </w:r>
    </w:p>
    <w:p>
      <w:pPr>
        <w:pStyle w:val="Normal"/>
        <w:ind w:left="21" w:hanging="0"/>
        <w:rPr>
          <w:rFonts w:ascii="Arial" w:hAnsi="Arial" w:cs="Arial"/>
          <w:color w:val="FF0000"/>
          <w:sz w:val="22"/>
        </w:rPr>
      </w:pPr>
      <w:r>
        <w:rPr>
          <w:rFonts w:cs="Arial" w:ascii="Arial" w:hAnsi="Arial"/>
          <w:color w:val="auto"/>
          <w:sz w:val="22"/>
        </w:rPr>
        <w:t>Ce projet répond à une volonté de revitaliser un quartier en cours de paupérisation. Il doit donc être analysé sous l’angle de l’intérêt général  et non pas selon une analyse strictement économique.</w:t>
      </w:r>
    </w:p>
    <w:p>
      <w:pPr>
        <w:pStyle w:val="Normal"/>
        <w:rPr>
          <w:rFonts w:ascii="Arial" w:hAnsi="Arial" w:cs="Arial"/>
          <w:b/>
          <w:b/>
          <w:bCs/>
          <w:color w:val="auto"/>
          <w:sz w:val="22"/>
        </w:rPr>
      </w:pPr>
      <w:r>
        <w:rPr>
          <w:rFonts w:cs="Arial" w:ascii="Arial" w:hAnsi="Arial"/>
          <w:b/>
          <w:bCs/>
          <w:color w:val="auto"/>
          <w:sz w:val="22"/>
        </w:rPr>
        <w:t xml:space="preserve">La dernière évaluation date du 6 juillet 2022 et précise une période de validité d’un an. Ce délai étant dépassé, je recommande de demander une actualisation afin d’éviter tout contentieux en la matière. </w:t>
      </w:r>
    </w:p>
    <w:p>
      <w:pPr>
        <w:pStyle w:val="Normal"/>
        <w:ind w:left="21" w:hanging="0"/>
        <w:rPr>
          <w:rFonts w:ascii="Arial" w:hAnsi="Arial" w:cs="Arial"/>
          <w:b/>
          <w:b/>
          <w:bCs/>
          <w:color w:val="auto"/>
          <w:sz w:val="22"/>
        </w:rPr>
      </w:pPr>
      <w:r>
        <w:rPr>
          <w:rFonts w:cs="Arial" w:ascii="Arial" w:hAnsi="Arial"/>
          <w:b/>
          <w:bCs/>
          <w:color w:val="auto"/>
          <w:sz w:val="22"/>
        </w:rPr>
        <w:t xml:space="preserve">La ville a prévu de demander une réévaluation sachant que l’indemnisation est basée non pas sur une valorisation des surfaces mais sur les tantièmes de propriété validés lors de l’assemblée générale de l’ASL. </w:t>
      </w:r>
    </w:p>
    <w:p>
      <w:pPr>
        <w:pStyle w:val="Normal"/>
        <w:ind w:left="0" w:hanging="0"/>
        <w:rPr>
          <w:rFonts w:ascii="Arial" w:hAnsi="Arial" w:cs="Arial"/>
          <w:b/>
          <w:b/>
          <w:bCs/>
          <w:i/>
          <w:i/>
          <w:iCs/>
          <w:color w:val="FF0000"/>
          <w:sz w:val="22"/>
        </w:rPr>
      </w:pPr>
      <w:r>
        <w:rPr>
          <w:rFonts w:cs="Arial" w:ascii="Arial" w:hAnsi="Arial"/>
          <w:b/>
          <w:bCs/>
          <w:i/>
          <w:iCs/>
          <w:color w:val="FF0000"/>
          <w:sz w:val="22"/>
        </w:rPr>
      </w:r>
    </w:p>
    <w:p>
      <w:pPr>
        <w:pStyle w:val="Normal"/>
        <w:ind w:left="0" w:hanging="0"/>
        <w:rPr>
          <w:rFonts w:ascii="Arial" w:hAnsi="Arial" w:cs="Arial"/>
          <w:b/>
          <w:b/>
          <w:bCs/>
          <w:i/>
          <w:i/>
          <w:iCs/>
          <w:color w:val="FF0000"/>
          <w:sz w:val="22"/>
        </w:rPr>
      </w:pPr>
      <w:r>
        <w:rPr>
          <w:rFonts w:cs="Arial" w:ascii="Arial" w:hAnsi="Arial"/>
          <w:b/>
          <w:bCs/>
          <w:i/>
          <w:iCs/>
          <w:color w:val="FF0000"/>
          <w:sz w:val="22"/>
        </w:rPr>
      </w:r>
    </w:p>
    <w:p>
      <w:pPr>
        <w:pStyle w:val="Normal"/>
        <w:ind w:left="0" w:hanging="0"/>
        <w:rPr>
          <w:rFonts w:ascii="Arial" w:hAnsi="Arial" w:cs="Arial"/>
          <w:b/>
          <w:b/>
          <w:bCs/>
          <w:i/>
          <w:i/>
          <w:iCs/>
          <w:color w:val="FF0000"/>
          <w:sz w:val="22"/>
        </w:rPr>
      </w:pPr>
      <w:r>
        <w:rPr>
          <w:rFonts w:cs="Arial" w:ascii="Arial" w:hAnsi="Arial"/>
          <w:b/>
          <w:bCs/>
          <w:i/>
          <w:iCs/>
          <w:color w:val="FF0000"/>
          <w:sz w:val="22"/>
        </w:rPr>
      </w:r>
    </w:p>
    <w:p>
      <w:pPr>
        <w:pStyle w:val="Normal"/>
        <w:ind w:left="0" w:hanging="0"/>
        <w:rPr>
          <w:rFonts w:ascii="Arial" w:hAnsi="Arial" w:cs="Arial"/>
          <w:b/>
          <w:b/>
          <w:bCs/>
          <w:i/>
          <w:i/>
          <w:iCs/>
          <w:color w:val="FF0000"/>
          <w:sz w:val="22"/>
        </w:rPr>
      </w:pPr>
      <w:r>
        <w:rPr>
          <w:rFonts w:cs="Arial" w:ascii="Arial" w:hAnsi="Arial"/>
          <w:b/>
          <w:bCs/>
          <w:i/>
          <w:iCs/>
          <w:color w:val="FF0000"/>
          <w:sz w:val="22"/>
        </w:rPr>
      </w:r>
    </w:p>
    <w:p>
      <w:pPr>
        <w:pStyle w:val="ListParagraph"/>
        <w:numPr>
          <w:ilvl w:val="0"/>
          <w:numId w:val="22"/>
        </w:numPr>
        <w:spacing w:lineRule="auto" w:line="240" w:before="0" w:after="0"/>
        <w:contextualSpacing/>
        <w:rPr>
          <w:rFonts w:ascii="Arial" w:hAnsi="Arial" w:cs="Arial"/>
          <w:b/>
          <w:b/>
          <w:bCs/>
          <w:i/>
          <w:i/>
          <w:iCs/>
          <w:sz w:val="22"/>
        </w:rPr>
      </w:pPr>
      <w:r>
        <w:rPr>
          <w:rFonts w:cs="Arial" w:ascii="Arial" w:hAnsi="Arial"/>
          <w:b/>
          <w:bCs/>
          <w:i/>
          <w:iCs/>
          <w:sz w:val="22"/>
        </w:rPr>
        <w:t>« Fait peser sur les copropriétaires indivis la politique publique d’accession pour une catégorie déterminée dans l’enquête publique »</w:t>
      </w:r>
    </w:p>
    <w:p>
      <w:pPr>
        <w:pStyle w:val="ListParagraph"/>
        <w:ind w:left="643" w:hanging="10"/>
        <w:rPr>
          <w:rFonts w:ascii="Arial" w:hAnsi="Arial" w:cs="Arial"/>
          <w:b/>
          <w:b/>
          <w:bCs/>
          <w:i/>
          <w:i/>
          <w:iCs/>
          <w:sz w:val="22"/>
        </w:rPr>
      </w:pPr>
      <w:r>
        <w:rPr>
          <w:rFonts w:cs="Arial" w:ascii="Arial" w:hAnsi="Arial"/>
          <w:b/>
          <w:bCs/>
          <w:i/>
          <w:iCs/>
          <w:sz w:val="22"/>
        </w:rPr>
      </w:r>
    </w:p>
    <w:p>
      <w:pPr>
        <w:pStyle w:val="Normal"/>
        <w:rPr>
          <w:rFonts w:ascii="Arial" w:hAnsi="Arial" w:cs="Arial"/>
          <w:b/>
          <w:b/>
          <w:bCs/>
          <w:sz w:val="22"/>
        </w:rPr>
      </w:pPr>
      <w:r>
        <w:rPr>
          <w:rFonts w:cs="Arial" w:ascii="Arial" w:hAnsi="Arial"/>
          <w:b/>
          <w:bCs/>
          <w:i/>
          <w:iCs/>
          <w:sz w:val="22"/>
          <w:u w:val="single"/>
        </w:rPr>
        <w:t>Remarques du commissaire enquêteur (CE)</w:t>
      </w:r>
      <w:r>
        <w:rPr>
          <w:rFonts w:cs="Arial" w:ascii="Arial" w:hAnsi="Arial"/>
          <w:b/>
          <w:bCs/>
          <w:sz w:val="22"/>
        </w:rPr>
        <w:t xml:space="preserve"> : </w:t>
      </w:r>
    </w:p>
    <w:p>
      <w:pPr>
        <w:pStyle w:val="Normal"/>
        <w:rPr>
          <w:rFonts w:ascii="Arial" w:hAnsi="Arial" w:cs="Arial"/>
          <w:sz w:val="22"/>
        </w:rPr>
      </w:pPr>
      <w:r>
        <w:rPr>
          <w:rFonts w:cs="Arial" w:ascii="Arial" w:hAnsi="Arial"/>
          <w:sz w:val="22"/>
        </w:rPr>
        <w:t>La note explicative rappelle page 12 que l’origine du projet qui date de 2017 repose sur le constat que l’entretien des terrains indivis était devenu de plus en plus difficile compte tenu du niveau des charges qui était contesté, en particulier par les propriétaires des pavillons. De facto, ces terrains n’étant plus entretenus sont devenus des délaissés inutilisables par les riverains. Face à cette situation, la ville s’est rapprochée de l’Association Syndicale Libre dont l’objet est la gestion de ces espaces afin de trouver une solution. Lors d’une assemblée générale qui s’est tenue le 29 juin 2017 et à laquelle participaient 46 copropriétaires représentant 78 113 voix sur 100 000, le principe de la cession des parcelles indivises concernées par cette enquête, au prix de 230 000 €, a été adoptée par 76 496 voix sur les 78 113 représentées, soit 45 copropriétaires sur les 46 présents.</w:t>
      </w:r>
    </w:p>
    <w:p>
      <w:pPr>
        <w:pStyle w:val="Normal"/>
        <w:rPr>
          <w:rFonts w:ascii="Arial" w:hAnsi="Arial" w:cs="Arial"/>
          <w:sz w:val="22"/>
        </w:rPr>
      </w:pPr>
      <w:r>
        <w:rPr>
          <w:rFonts w:cs="Arial" w:ascii="Arial" w:hAnsi="Arial"/>
          <w:sz w:val="22"/>
        </w:rPr>
        <w:t xml:space="preserve">Cette opération a donc été initiée et adoptée par une large majorité de propriétaires indivis qui ont considéré que cette transaction respectait les intérêts de chaque partie. A aujourd’hui, cette analyse est confortée par le fait que 57 propriétaires sur 60 ont signé un accord amiable. </w:t>
      </w:r>
    </w:p>
    <w:p>
      <w:pPr>
        <w:pStyle w:val="Normal"/>
        <w:rPr>
          <w:rFonts w:ascii="Arial" w:hAnsi="Arial" w:cs="Arial"/>
          <w:sz w:val="22"/>
        </w:rPr>
      </w:pPr>
      <w:r>
        <w:rPr>
          <w:rFonts w:cs="Arial" w:ascii="Arial" w:hAnsi="Arial"/>
          <w:sz w:val="22"/>
        </w:rPr>
        <w:t>Au-delà de la stricte indemnisation financière, cette transaction va permettre de réhabiliter toutes les parties communes (voirie, espaces de jeux et espaces verts) qui seront dorénavant entretenues par la ville. Ces investissements vont valoriser l’ensemble du quartier et par conséquence les biens de tous les copropriétaires voisins.</w:t>
      </w:r>
    </w:p>
    <w:p>
      <w:pPr>
        <w:pStyle w:val="Normal"/>
        <w:ind w:left="0" w:hanging="0"/>
        <w:rPr>
          <w:rFonts w:ascii="Arial" w:hAnsi="Arial" w:cs="Arial"/>
          <w:b/>
          <w:b/>
          <w:bCs/>
          <w:color w:val="auto"/>
          <w:sz w:val="22"/>
        </w:rPr>
      </w:pPr>
      <w:r>
        <w:rPr>
          <w:rFonts w:cs="Arial" w:ascii="Arial" w:hAnsi="Arial"/>
          <w:b/>
          <w:bCs/>
          <w:color w:val="auto"/>
          <w:sz w:val="22"/>
        </w:rPr>
        <w:t>La ville partage cet avis et précise qu’elle a dû faire clôturer l’espace a ses frais pour sécuriser les lieux qui étaient de plus en plus souvent squattés ; il y a même eu un départ d’incendie déclenché par un barbecue sauvage.</w:t>
      </w:r>
    </w:p>
    <w:p>
      <w:pPr>
        <w:pStyle w:val="Normal"/>
        <w:ind w:left="0" w:hanging="0"/>
        <w:rPr>
          <w:rFonts w:ascii="Arial" w:hAnsi="Arial" w:cs="Arial"/>
          <w:sz w:val="22"/>
        </w:rPr>
      </w:pPr>
      <w:r>
        <w:rPr>
          <w:rFonts w:cs="Arial" w:ascii="Arial" w:hAnsi="Arial"/>
          <w:sz w:val="22"/>
        </w:rPr>
      </w:r>
    </w:p>
    <w:p>
      <w:pPr>
        <w:pStyle w:val="ListParagraph"/>
        <w:numPr>
          <w:ilvl w:val="0"/>
          <w:numId w:val="22"/>
        </w:numPr>
        <w:spacing w:lineRule="auto" w:line="240" w:before="0" w:after="0"/>
        <w:contextualSpacing/>
        <w:rPr>
          <w:rFonts w:ascii="Arial" w:hAnsi="Arial" w:cs="Arial"/>
          <w:b/>
          <w:b/>
          <w:bCs/>
          <w:i/>
          <w:i/>
          <w:iCs/>
          <w:sz w:val="22"/>
        </w:rPr>
      </w:pPr>
      <w:r>
        <w:rPr>
          <w:rFonts w:cs="Arial" w:ascii="Arial" w:hAnsi="Arial"/>
          <w:b/>
          <w:bCs/>
          <w:i/>
          <w:iCs/>
          <w:sz w:val="22"/>
        </w:rPr>
        <w:t>« Avis des domaines sollicité par courrier en date du 8 septembre 2023 non transmis »</w:t>
      </w:r>
    </w:p>
    <w:p>
      <w:pPr>
        <w:pStyle w:val="Normal"/>
        <w:rPr>
          <w:rFonts w:ascii="Arial" w:hAnsi="Arial" w:cs="Arial"/>
          <w:b/>
          <w:b/>
          <w:bCs/>
          <w:i/>
          <w:i/>
          <w:iCs/>
          <w:sz w:val="22"/>
        </w:rPr>
      </w:pPr>
      <w:r>
        <w:rPr>
          <w:rFonts w:cs="Arial" w:ascii="Arial" w:hAnsi="Arial"/>
          <w:b/>
          <w:bCs/>
          <w:i/>
          <w:iCs/>
          <w:sz w:val="22"/>
        </w:rPr>
      </w:r>
    </w:p>
    <w:p>
      <w:pPr>
        <w:pStyle w:val="Normal"/>
        <w:rPr>
          <w:rFonts w:ascii="Arial" w:hAnsi="Arial" w:cs="Arial"/>
          <w:b/>
          <w:b/>
          <w:bCs/>
          <w:sz w:val="22"/>
        </w:rPr>
      </w:pPr>
      <w:r>
        <w:rPr>
          <w:rFonts w:cs="Arial" w:ascii="Arial" w:hAnsi="Arial"/>
          <w:b/>
          <w:bCs/>
          <w:i/>
          <w:iCs/>
          <w:sz w:val="22"/>
          <w:u w:val="single"/>
        </w:rPr>
        <w:t>Remarques du commissaire enquêteur (CE)</w:t>
      </w:r>
      <w:r>
        <w:rPr>
          <w:rFonts w:cs="Arial" w:ascii="Arial" w:hAnsi="Arial"/>
          <w:b/>
          <w:bCs/>
          <w:sz w:val="22"/>
        </w:rPr>
        <w:t xml:space="preserve"> : </w:t>
      </w:r>
    </w:p>
    <w:p>
      <w:pPr>
        <w:pStyle w:val="Normal"/>
        <w:rPr>
          <w:rFonts w:ascii="Arial" w:hAnsi="Arial" w:cs="Arial"/>
          <w:sz w:val="22"/>
        </w:rPr>
      </w:pPr>
      <w:r>
        <w:rPr>
          <w:rFonts w:cs="Arial" w:ascii="Arial" w:hAnsi="Arial"/>
          <w:sz w:val="22"/>
        </w:rPr>
        <w:t xml:space="preserve">Voir la question posée dans l’analyse du point 2. Positive ou négative, cette question mériterait une réponse. A noter que la dernière évaluation du juillet 2022 est clairement mentionnée en page 37 du dossier de déclaration d’utilité publique. </w:t>
      </w:r>
    </w:p>
    <w:p>
      <w:pPr>
        <w:pStyle w:val="Normal"/>
        <w:rPr>
          <w:rFonts w:ascii="Arial" w:hAnsi="Arial" w:cs="Arial"/>
          <w:b/>
          <w:b/>
          <w:bCs/>
          <w:color w:val="auto"/>
          <w:sz w:val="22"/>
        </w:rPr>
      </w:pPr>
      <w:r>
        <w:rPr>
          <w:rFonts w:cs="Arial" w:ascii="Arial" w:hAnsi="Arial"/>
          <w:b/>
          <w:bCs/>
          <w:color w:val="auto"/>
          <w:sz w:val="22"/>
        </w:rPr>
        <w:t>La ville précise que Mr GLUKYAN a été reçu très peu de temps avant l’enquête publique, suite à la demande qu’il faisait pour la première fois. Compte tenu de la proximité de l’enquête publique, il a été renvoyé à celle-ci.</w:t>
      </w:r>
    </w:p>
    <w:p>
      <w:pPr>
        <w:pStyle w:val="Normal"/>
        <w:ind w:left="0" w:hanging="0"/>
        <w:rPr>
          <w:rFonts w:ascii="Arial" w:hAnsi="Arial" w:cs="Arial"/>
          <w:b/>
          <w:b/>
          <w:bCs/>
          <w:sz w:val="22"/>
        </w:rPr>
      </w:pPr>
      <w:r>
        <w:rPr>
          <w:rFonts w:cs="Arial" w:ascii="Arial" w:hAnsi="Arial"/>
          <w:b/>
          <w:bCs/>
          <w:sz w:val="22"/>
        </w:rPr>
      </w:r>
    </w:p>
    <w:p>
      <w:pPr>
        <w:pStyle w:val="ListParagraph"/>
        <w:numPr>
          <w:ilvl w:val="0"/>
          <w:numId w:val="22"/>
        </w:numPr>
        <w:spacing w:lineRule="auto" w:line="240" w:before="0" w:after="0"/>
        <w:contextualSpacing/>
        <w:rPr>
          <w:rFonts w:ascii="Arial" w:hAnsi="Arial" w:cs="Arial"/>
          <w:b/>
          <w:b/>
          <w:bCs/>
          <w:i/>
          <w:i/>
          <w:iCs/>
          <w:sz w:val="22"/>
        </w:rPr>
      </w:pPr>
      <w:r>
        <w:rPr>
          <w:rFonts w:cs="Arial" w:ascii="Arial" w:hAnsi="Arial"/>
          <w:b/>
          <w:bCs/>
          <w:i/>
          <w:iCs/>
          <w:sz w:val="22"/>
        </w:rPr>
        <w:t>« l’ASL n’a aucun pouvoir de décision sur les cessions »</w:t>
      </w:r>
    </w:p>
    <w:p>
      <w:pPr>
        <w:pStyle w:val="ListParagraph"/>
        <w:ind w:left="643" w:hanging="10"/>
        <w:rPr>
          <w:rFonts w:ascii="Arial" w:hAnsi="Arial" w:cs="Arial"/>
          <w:b/>
          <w:b/>
          <w:bCs/>
          <w:i/>
          <w:i/>
          <w:iCs/>
          <w:sz w:val="22"/>
        </w:rPr>
      </w:pPr>
      <w:r>
        <w:rPr>
          <w:rFonts w:cs="Arial" w:ascii="Arial" w:hAnsi="Arial"/>
          <w:b/>
          <w:bCs/>
          <w:i/>
          <w:iCs/>
          <w:sz w:val="22"/>
        </w:rPr>
      </w:r>
    </w:p>
    <w:p>
      <w:pPr>
        <w:pStyle w:val="Normal"/>
        <w:rPr>
          <w:rFonts w:ascii="Arial" w:hAnsi="Arial" w:cs="Arial"/>
          <w:b/>
          <w:b/>
          <w:bCs/>
          <w:sz w:val="22"/>
        </w:rPr>
      </w:pPr>
      <w:r>
        <w:rPr>
          <w:rFonts w:cs="Arial" w:ascii="Arial" w:hAnsi="Arial"/>
          <w:b/>
          <w:bCs/>
          <w:i/>
          <w:iCs/>
          <w:sz w:val="22"/>
          <w:u w:val="single"/>
        </w:rPr>
        <w:t>Remarques du commissaire enquêteur (CE)</w:t>
      </w:r>
      <w:r>
        <w:rPr>
          <w:rFonts w:cs="Arial" w:ascii="Arial" w:hAnsi="Arial"/>
          <w:b/>
          <w:bCs/>
          <w:sz w:val="22"/>
        </w:rPr>
        <w:t xml:space="preserve"> : </w:t>
      </w:r>
    </w:p>
    <w:p>
      <w:pPr>
        <w:pStyle w:val="Normal"/>
        <w:rPr>
          <w:rFonts w:ascii="Arial" w:hAnsi="Arial" w:cs="Arial"/>
          <w:sz w:val="22"/>
        </w:rPr>
      </w:pPr>
      <w:r>
        <w:rPr>
          <w:rFonts w:cs="Arial" w:ascii="Arial" w:hAnsi="Arial"/>
          <w:sz w:val="22"/>
        </w:rPr>
        <w:t>Comme le précise la notice explicative en page 12, l’ASL est la structure désignée lors de la constitution du lotissement « </w:t>
      </w:r>
      <w:r>
        <w:rPr>
          <w:rFonts w:cs="Arial" w:ascii="Arial" w:hAnsi="Arial"/>
          <w:i/>
          <w:iCs/>
          <w:sz w:val="22"/>
        </w:rPr>
        <w:t>Clair Vallée »</w:t>
      </w:r>
      <w:r>
        <w:rPr>
          <w:rFonts w:cs="Arial" w:ascii="Arial" w:hAnsi="Arial"/>
          <w:sz w:val="22"/>
        </w:rPr>
        <w:t xml:space="preserve"> par la Société Parisienne d’Etudes et de Recherche Foncière (SOPEREF) pour administrer les équipements communs placés sous le régime de l’indivision forcée. Elle a parfaitement joué son rôle en permettant à la ville de Gonesse de proposer la solution qui a été présentée lors de l’Assemblée Générale du 29 juin 2017, évoquée ci-dessus. Bien entendu les propriétaires indivis conservent leur pouvoir de décision en acceptant ou non la solution proposée comme l’ont fait les 57 des 60 copropriétaires concernés qui ont signé un accord amiable.   </w:t>
      </w:r>
    </w:p>
    <w:p>
      <w:pPr>
        <w:pStyle w:val="Normal"/>
        <w:rPr>
          <w:rFonts w:ascii="Arial" w:hAnsi="Arial" w:cs="Arial"/>
          <w:sz w:val="22"/>
        </w:rPr>
      </w:pPr>
      <w:r>
        <w:rPr>
          <w:rFonts w:cs="Arial" w:ascii="Arial" w:hAnsi="Arial"/>
          <w:sz w:val="22"/>
        </w:rPr>
        <w:t>L’enquête en cours est la suite de cette procédure qui doit permettre de finaliser la réalisation du projet de lotissement dit « des Jasmins ».</w:t>
      </w:r>
    </w:p>
    <w:p>
      <w:pPr>
        <w:pStyle w:val="Normal"/>
        <w:rPr>
          <w:rFonts w:ascii="Arial" w:hAnsi="Arial" w:cs="Arial"/>
          <w:b/>
          <w:b/>
          <w:bCs/>
          <w:color w:val="auto"/>
          <w:sz w:val="22"/>
        </w:rPr>
      </w:pPr>
      <w:r>
        <w:rPr>
          <w:rFonts w:cs="Arial" w:ascii="Arial" w:hAnsi="Arial"/>
          <w:b/>
          <w:bCs/>
          <w:color w:val="auto"/>
          <w:sz w:val="22"/>
        </w:rPr>
      </w:r>
    </w:p>
    <w:p>
      <w:pPr>
        <w:pStyle w:val="Normal"/>
        <w:rPr>
          <w:rFonts w:ascii="Arial" w:hAnsi="Arial" w:cs="Arial"/>
          <w:b/>
          <w:b/>
          <w:bCs/>
          <w:color w:val="auto"/>
          <w:sz w:val="22"/>
        </w:rPr>
      </w:pPr>
      <w:r>
        <w:rPr>
          <w:rFonts w:cs="Arial" w:ascii="Arial" w:hAnsi="Arial"/>
          <w:b/>
          <w:bCs/>
          <w:color w:val="auto"/>
          <w:sz w:val="22"/>
        </w:rPr>
        <w:t>La ville a été assistée d’un cabinet d’assistance foncière afin de contacter les propriétaires un à un et leur proposer un acte de vente qu’ils étaient libres de signer, ou de ne pas signer, comme Mr GULUKYAN et son épouse.</w:t>
      </w:r>
    </w:p>
    <w:p>
      <w:pPr>
        <w:pStyle w:val="Normal"/>
        <w:ind w:left="0" w:hanging="0"/>
        <w:rPr>
          <w:rFonts w:ascii="Arial" w:hAnsi="Arial" w:cs="Arial"/>
          <w:b/>
          <w:b/>
          <w:bCs/>
          <w:i/>
          <w:i/>
          <w:iCs/>
          <w:sz w:val="22"/>
        </w:rPr>
      </w:pPr>
      <w:r>
        <w:rPr>
          <w:rFonts w:cs="Arial" w:ascii="Arial" w:hAnsi="Arial"/>
          <w:b/>
          <w:bCs/>
          <w:i/>
          <w:iCs/>
          <w:sz w:val="22"/>
        </w:rPr>
      </w:r>
    </w:p>
    <w:p>
      <w:pPr>
        <w:pStyle w:val="ListParagraph"/>
        <w:numPr>
          <w:ilvl w:val="0"/>
          <w:numId w:val="22"/>
        </w:numPr>
        <w:spacing w:lineRule="auto" w:line="240" w:before="0" w:after="0"/>
        <w:contextualSpacing/>
        <w:rPr>
          <w:rFonts w:ascii="Arial" w:hAnsi="Arial" w:cs="Arial"/>
          <w:b/>
          <w:b/>
          <w:bCs/>
          <w:i/>
          <w:i/>
          <w:iCs/>
          <w:sz w:val="22"/>
        </w:rPr>
      </w:pPr>
      <w:r>
        <w:rPr>
          <w:rFonts w:cs="Arial" w:ascii="Arial" w:hAnsi="Arial"/>
          <w:b/>
          <w:bCs/>
          <w:i/>
          <w:iCs/>
          <w:sz w:val="22"/>
        </w:rPr>
        <w:t>« Les cessions réalisées l’ont été au mépris des règles relatives à l’indivision »</w:t>
      </w:r>
    </w:p>
    <w:p>
      <w:pPr>
        <w:pStyle w:val="ListParagraph"/>
        <w:ind w:left="643" w:hanging="10"/>
        <w:rPr>
          <w:rFonts w:ascii="Arial" w:hAnsi="Arial" w:cs="Arial"/>
          <w:b/>
          <w:b/>
          <w:bCs/>
          <w:i/>
          <w:i/>
          <w:iCs/>
          <w:sz w:val="22"/>
        </w:rPr>
      </w:pPr>
      <w:r>
        <w:rPr>
          <w:rFonts w:cs="Arial" w:ascii="Arial" w:hAnsi="Arial"/>
          <w:b/>
          <w:bCs/>
          <w:i/>
          <w:iCs/>
          <w:sz w:val="22"/>
        </w:rPr>
      </w:r>
    </w:p>
    <w:p>
      <w:pPr>
        <w:pStyle w:val="Normal"/>
        <w:rPr>
          <w:rFonts w:ascii="Arial" w:hAnsi="Arial" w:cs="Arial"/>
          <w:b/>
          <w:b/>
          <w:bCs/>
          <w:sz w:val="22"/>
        </w:rPr>
      </w:pPr>
      <w:r>
        <w:rPr>
          <w:rFonts w:cs="Arial" w:ascii="Arial" w:hAnsi="Arial"/>
          <w:b/>
          <w:bCs/>
          <w:i/>
          <w:iCs/>
          <w:sz w:val="22"/>
          <w:u w:val="single"/>
        </w:rPr>
        <w:t>Remarques du commissaire enquêteur (CE)</w:t>
      </w:r>
      <w:r>
        <w:rPr>
          <w:rFonts w:cs="Arial" w:ascii="Arial" w:hAnsi="Arial"/>
          <w:b/>
          <w:bCs/>
          <w:sz w:val="22"/>
        </w:rPr>
        <w:t xml:space="preserve"> : </w:t>
      </w:r>
    </w:p>
    <w:p>
      <w:pPr>
        <w:pStyle w:val="Normal"/>
        <w:rPr>
          <w:rFonts w:ascii="Arial" w:hAnsi="Arial" w:cs="Arial"/>
          <w:sz w:val="22"/>
        </w:rPr>
      </w:pPr>
      <w:r>
        <w:rPr>
          <w:rFonts w:cs="Arial" w:ascii="Arial" w:hAnsi="Arial"/>
          <w:sz w:val="22"/>
        </w:rPr>
        <w:t>Ce point renvoie à l’analyse du point 5 ci-dessus.</w:t>
      </w:r>
    </w:p>
    <w:p>
      <w:pPr>
        <w:pStyle w:val="Normal"/>
        <w:rPr>
          <w:rFonts w:ascii="Arial" w:hAnsi="Arial" w:cs="Arial"/>
          <w:b/>
          <w:b/>
          <w:bCs/>
          <w:color w:val="auto"/>
          <w:sz w:val="22"/>
        </w:rPr>
      </w:pPr>
      <w:r>
        <w:rPr>
          <w:rFonts w:cs="Arial" w:ascii="Arial" w:hAnsi="Arial"/>
          <w:b/>
          <w:bCs/>
          <w:color w:val="auto"/>
          <w:sz w:val="22"/>
        </w:rPr>
        <w:t>Position de la ville : idem question précédente.</w:t>
      </w:r>
    </w:p>
    <w:p>
      <w:pPr>
        <w:pStyle w:val="Normal"/>
        <w:rPr>
          <w:rFonts w:ascii="Arial" w:hAnsi="Arial" w:cs="Arial"/>
          <w:b/>
          <w:b/>
          <w:bCs/>
          <w:i/>
          <w:i/>
          <w:iCs/>
          <w:sz w:val="22"/>
        </w:rPr>
      </w:pPr>
      <w:r>
        <w:rPr>
          <w:rFonts w:cs="Arial" w:ascii="Arial" w:hAnsi="Arial"/>
          <w:b/>
          <w:bCs/>
          <w:i/>
          <w:iCs/>
          <w:sz w:val="22"/>
        </w:rPr>
      </w:r>
    </w:p>
    <w:p>
      <w:pPr>
        <w:pStyle w:val="ListParagraph"/>
        <w:numPr>
          <w:ilvl w:val="0"/>
          <w:numId w:val="22"/>
        </w:numPr>
        <w:spacing w:lineRule="auto" w:line="240" w:before="0" w:after="0"/>
        <w:contextualSpacing/>
        <w:rPr>
          <w:rFonts w:ascii="Arial" w:hAnsi="Arial" w:cs="Arial"/>
          <w:b/>
          <w:b/>
          <w:bCs/>
          <w:i/>
          <w:i/>
          <w:iCs/>
          <w:sz w:val="22"/>
        </w:rPr>
      </w:pPr>
      <w:r>
        <w:rPr>
          <w:rFonts w:cs="Arial" w:ascii="Arial" w:hAnsi="Arial"/>
          <w:b/>
          <w:bCs/>
          <w:i/>
          <w:iCs/>
          <w:sz w:val="22"/>
        </w:rPr>
        <w:t>« Enfin le montant du prix proposé, eu égard à la qualité du site, de son emplacement, semble éloigné de sa valeur vénale. Merci de proposer une valeur supérieure »</w:t>
      </w:r>
    </w:p>
    <w:p>
      <w:pPr>
        <w:pStyle w:val="ListParagraph"/>
        <w:spacing w:lineRule="auto" w:line="240" w:before="0" w:after="0"/>
        <w:ind w:left="643" w:hanging="0"/>
        <w:contextualSpacing/>
        <w:rPr>
          <w:rFonts w:ascii="Arial" w:hAnsi="Arial" w:cs="Arial"/>
          <w:b/>
          <w:b/>
          <w:bCs/>
          <w:i/>
          <w:i/>
          <w:iCs/>
          <w:sz w:val="22"/>
        </w:rPr>
      </w:pPr>
      <w:r>
        <w:rPr>
          <w:rFonts w:cs="Arial" w:ascii="Arial" w:hAnsi="Arial"/>
          <w:b/>
          <w:bCs/>
          <w:i/>
          <w:iCs/>
          <w:sz w:val="22"/>
        </w:rPr>
      </w:r>
    </w:p>
    <w:p>
      <w:pPr>
        <w:pStyle w:val="Normal"/>
        <w:rPr>
          <w:rFonts w:ascii="Arial" w:hAnsi="Arial" w:cs="Arial"/>
          <w:sz w:val="22"/>
        </w:rPr>
      </w:pPr>
      <w:r>
        <w:rPr>
          <w:rFonts w:cs="Arial" w:ascii="Arial" w:hAnsi="Arial"/>
          <w:b/>
          <w:bCs/>
          <w:i/>
          <w:iCs/>
          <w:sz w:val="22"/>
          <w:u w:val="single"/>
        </w:rPr>
        <w:t>Remarques du commissaire enquêteur (CE)</w:t>
      </w:r>
      <w:r>
        <w:rPr>
          <w:rFonts w:cs="Arial" w:ascii="Arial" w:hAnsi="Arial"/>
          <w:b/>
          <w:bCs/>
          <w:sz w:val="22"/>
        </w:rPr>
        <w:t xml:space="preserve"> : </w:t>
      </w:r>
    </w:p>
    <w:p>
      <w:pPr>
        <w:pStyle w:val="Normal"/>
        <w:rPr>
          <w:rFonts w:ascii="Arial" w:hAnsi="Arial" w:cs="Arial"/>
          <w:sz w:val="22"/>
        </w:rPr>
      </w:pPr>
      <w:r>
        <w:rPr>
          <w:rFonts w:cs="Arial" w:ascii="Arial" w:hAnsi="Arial"/>
          <w:sz w:val="22"/>
        </w:rPr>
        <w:t>Comme évoqué à l’analyse du point 3, la ville doit se référer à l’analyse des Domaines qui est le seul service compétent en la matière. D’autre part, par souci d’équité vis-à-vis des 58 propriétaires qui ont signé un accord sur la base proposée, il semble difficile de modifier le prix qui a servi de base à cette valorisation.</w:t>
      </w:r>
    </w:p>
    <w:p>
      <w:pPr>
        <w:pStyle w:val="Normal"/>
        <w:rPr>
          <w:rFonts w:ascii="Arial" w:hAnsi="Arial" w:cs="Arial"/>
          <w:sz w:val="22"/>
        </w:rPr>
      </w:pPr>
      <w:r>
        <w:rPr>
          <w:rFonts w:cs="Arial" w:ascii="Arial" w:hAnsi="Arial"/>
          <w:sz w:val="22"/>
        </w:rPr>
        <w:t>Comme évoqué précédemment, il convient de prendre en compte la revalorisation de l’ensemble du quartier grâce à ce projet et l’impact positif que cela aura sur la valeur des biens de tous les propriétaires voisins.</w:t>
      </w:r>
    </w:p>
    <w:p>
      <w:pPr>
        <w:pStyle w:val="Normal"/>
        <w:rPr>
          <w:rFonts w:ascii="Arial" w:hAnsi="Arial" w:cs="Arial"/>
          <w:b/>
          <w:b/>
          <w:bCs/>
          <w:sz w:val="22"/>
        </w:rPr>
      </w:pPr>
      <w:r>
        <w:rPr>
          <w:rFonts w:cs="Arial" w:ascii="Arial" w:hAnsi="Arial"/>
          <w:b/>
          <w:bCs/>
          <w:sz w:val="22"/>
        </w:rPr>
        <w:t>La ville précise que le prix d’acquisition des terrains a été fixé en fonction des coûts de viabilisation et d’aménagement. Comme évoqué, 57 des propriétaires indivis ont signé sur cette base financière, il serait injuste qu’un seul propriétaire indivis soit privilégié par une estimation différente.</w:t>
      </w:r>
    </w:p>
    <w:p>
      <w:pPr>
        <w:pStyle w:val="Normal"/>
        <w:rPr>
          <w:rFonts w:ascii="Arial" w:hAnsi="Arial" w:cs="Arial"/>
          <w:b/>
          <w:b/>
          <w:bCs/>
          <w:sz w:val="22"/>
        </w:rPr>
      </w:pPr>
      <w:r>
        <w:rPr>
          <w:rFonts w:cs="Arial" w:ascii="Arial" w:hAnsi="Arial"/>
          <w:b/>
          <w:bCs/>
          <w:sz w:val="22"/>
        </w:rPr>
      </w:r>
    </w:p>
    <w:p>
      <w:pPr>
        <w:pStyle w:val="ListParagraph"/>
        <w:numPr>
          <w:ilvl w:val="0"/>
          <w:numId w:val="22"/>
        </w:numPr>
        <w:spacing w:lineRule="auto" w:line="240" w:before="0" w:after="0"/>
        <w:contextualSpacing/>
        <w:rPr>
          <w:rFonts w:ascii="Arial" w:hAnsi="Arial" w:cs="Arial"/>
          <w:b/>
          <w:b/>
          <w:bCs/>
          <w:i/>
          <w:i/>
          <w:iCs/>
          <w:sz w:val="22"/>
        </w:rPr>
      </w:pPr>
      <w:r>
        <w:rPr>
          <w:rFonts w:cs="Arial" w:ascii="Arial" w:hAnsi="Arial"/>
          <w:b/>
          <w:bCs/>
          <w:i/>
          <w:iCs/>
          <w:sz w:val="22"/>
        </w:rPr>
        <w:t>« Remise des questionnaires d’état civil de Monsieur et Madame Gulukyan »</w:t>
      </w:r>
    </w:p>
    <w:p>
      <w:pPr>
        <w:pStyle w:val="Normal"/>
        <w:rPr>
          <w:rFonts w:ascii="Arial" w:hAnsi="Arial" w:cs="Arial"/>
          <w:b/>
          <w:b/>
          <w:bCs/>
          <w:i/>
          <w:i/>
          <w:iCs/>
          <w:sz w:val="22"/>
        </w:rPr>
      </w:pPr>
      <w:r>
        <w:rPr>
          <w:rFonts w:cs="Arial" w:ascii="Arial" w:hAnsi="Arial"/>
          <w:b/>
          <w:bCs/>
          <w:i/>
          <w:iCs/>
          <w:sz w:val="22"/>
        </w:rPr>
      </w:r>
    </w:p>
    <w:p>
      <w:pPr>
        <w:pStyle w:val="Normal"/>
        <w:rPr>
          <w:rFonts w:ascii="Arial" w:hAnsi="Arial" w:cs="Arial"/>
          <w:b/>
          <w:b/>
          <w:bCs/>
          <w:i/>
          <w:i/>
          <w:iCs/>
          <w:sz w:val="22"/>
        </w:rPr>
      </w:pPr>
      <w:r>
        <w:rPr>
          <w:rFonts w:cs="Arial" w:ascii="Arial" w:hAnsi="Arial"/>
          <w:b/>
          <w:bCs/>
          <w:sz w:val="22"/>
        </w:rPr>
        <w:t>Ces documents ont été remis au service Urbanisme.</w:t>
      </w:r>
      <w:r>
        <w:rPr>
          <w:rFonts w:cs="Arial" w:ascii="Arial" w:hAnsi="Arial"/>
          <w:b/>
          <w:bCs/>
          <w:i/>
          <w:iCs/>
          <w:sz w:val="22"/>
        </w:rPr>
        <w:t xml:space="preserve"> </w:t>
      </w:r>
    </w:p>
    <w:p>
      <w:pPr>
        <w:pStyle w:val="Normal"/>
        <w:ind w:left="0" w:hanging="0"/>
        <w:rPr>
          <w:rFonts w:ascii="Arial" w:hAnsi="Arial" w:cs="Arial"/>
          <w:b/>
          <w:b/>
          <w:bCs/>
          <w:i/>
          <w:i/>
          <w:iCs/>
          <w:sz w:val="22"/>
        </w:rPr>
      </w:pPr>
      <w:r>
        <w:rPr>
          <w:rFonts w:cs="Arial" w:ascii="Arial" w:hAnsi="Arial"/>
          <w:b/>
          <w:bCs/>
          <w:i/>
          <w:iCs/>
          <w:sz w:val="22"/>
        </w:rPr>
      </w:r>
    </w:p>
    <w:p>
      <w:pPr>
        <w:pStyle w:val="Normal"/>
        <w:ind w:left="0" w:hanging="0"/>
        <w:jc w:val="both"/>
        <w:rPr>
          <w:rFonts w:ascii="Arial" w:hAnsi="Arial" w:cs="Arial"/>
          <w:b/>
          <w:b/>
          <w:iCs/>
          <w:color w:val="auto"/>
          <w:sz w:val="22"/>
        </w:rPr>
      </w:pPr>
      <w:r>
        <w:rPr>
          <w:rFonts w:cs="Arial" w:ascii="Arial" w:hAnsi="Arial"/>
          <w:b/>
          <w:iCs/>
          <w:color w:val="auto"/>
          <w:sz w:val="22"/>
        </w:rPr>
        <w:t>Les thèmes principaux dégagés sont les suivants :</w:t>
      </w:r>
    </w:p>
    <w:p>
      <w:pPr>
        <w:pStyle w:val="Normal"/>
        <w:ind w:left="0" w:hanging="0"/>
        <w:jc w:val="both"/>
        <w:rPr>
          <w:rFonts w:ascii="Arial" w:hAnsi="Arial" w:cs="Arial"/>
          <w:b/>
          <w:b/>
          <w:iCs/>
          <w:color w:val="auto"/>
          <w:sz w:val="22"/>
        </w:rPr>
      </w:pPr>
      <w:r>
        <w:rPr>
          <w:rFonts w:cs="Arial" w:ascii="Arial" w:hAnsi="Arial"/>
          <w:b/>
          <w:iCs/>
          <w:color w:val="auto"/>
          <w:sz w:val="22"/>
        </w:rPr>
      </w:r>
    </w:p>
    <w:p>
      <w:pPr>
        <w:pStyle w:val="ListParagraph"/>
        <w:numPr>
          <w:ilvl w:val="0"/>
          <w:numId w:val="3"/>
        </w:numPr>
        <w:jc w:val="both"/>
        <w:rPr>
          <w:rFonts w:ascii="Arial" w:hAnsi="Arial" w:cs="Arial"/>
          <w:b/>
          <w:b/>
          <w:i/>
          <w:i/>
          <w:color w:val="auto"/>
          <w:sz w:val="22"/>
        </w:rPr>
      </w:pPr>
      <w:r>
        <w:rPr>
          <w:rFonts w:cs="Arial" w:ascii="Arial" w:hAnsi="Arial"/>
          <w:b/>
          <w:i/>
          <w:color w:val="auto"/>
          <w:sz w:val="22"/>
        </w:rPr>
        <w:t>Artificialisation des sols</w:t>
      </w:r>
    </w:p>
    <w:p>
      <w:pPr>
        <w:pStyle w:val="ListParagraph"/>
        <w:ind w:left="720" w:hanging="0"/>
        <w:jc w:val="both"/>
        <w:rPr>
          <w:rFonts w:ascii="Arial" w:hAnsi="Arial" w:cs="Arial"/>
          <w:b/>
          <w:b/>
          <w:i/>
          <w:i/>
          <w:color w:val="auto"/>
          <w:sz w:val="22"/>
        </w:rPr>
      </w:pPr>
      <w:r>
        <w:rPr>
          <w:rFonts w:cs="Arial" w:ascii="Arial" w:hAnsi="Arial"/>
          <w:b/>
          <w:i/>
          <w:color w:val="auto"/>
          <w:sz w:val="22"/>
        </w:rPr>
      </w:r>
    </w:p>
    <w:p>
      <w:pPr>
        <w:pStyle w:val="ListParagraph"/>
        <w:numPr>
          <w:ilvl w:val="0"/>
          <w:numId w:val="3"/>
        </w:numPr>
        <w:jc w:val="both"/>
        <w:rPr>
          <w:rFonts w:ascii="Arial" w:hAnsi="Arial" w:cs="Arial"/>
          <w:b/>
          <w:b/>
          <w:i/>
          <w:i/>
          <w:iCs/>
          <w:color w:val="auto"/>
          <w:sz w:val="22"/>
        </w:rPr>
      </w:pPr>
      <w:r>
        <w:rPr>
          <w:rFonts w:cs="Arial" w:ascii="Arial" w:hAnsi="Arial"/>
          <w:b/>
          <w:i/>
          <w:iCs/>
          <w:color w:val="auto"/>
          <w:sz w:val="22"/>
        </w:rPr>
        <w:t>Opacité des méthodes d’évaluation par les services des Domaines</w:t>
      </w:r>
    </w:p>
    <w:p>
      <w:pPr>
        <w:pStyle w:val="ListParagraph"/>
        <w:ind w:left="720" w:hanging="0"/>
        <w:jc w:val="both"/>
        <w:rPr>
          <w:rFonts w:ascii="Arial" w:hAnsi="Arial" w:cs="Arial"/>
          <w:b/>
          <w:b/>
          <w:i/>
          <w:i/>
          <w:iCs/>
          <w:color w:val="auto"/>
          <w:sz w:val="22"/>
        </w:rPr>
      </w:pPr>
      <w:r>
        <w:rPr>
          <w:rFonts w:cs="Arial" w:ascii="Arial" w:hAnsi="Arial"/>
          <w:b/>
          <w:i/>
          <w:iCs/>
          <w:color w:val="auto"/>
          <w:sz w:val="22"/>
        </w:rPr>
      </w:r>
    </w:p>
    <w:p>
      <w:pPr>
        <w:pStyle w:val="ListParagraph"/>
        <w:numPr>
          <w:ilvl w:val="0"/>
          <w:numId w:val="3"/>
        </w:numPr>
        <w:jc w:val="both"/>
        <w:rPr>
          <w:rFonts w:ascii="Arial" w:hAnsi="Arial" w:cs="Arial"/>
          <w:b/>
          <w:b/>
          <w:i/>
          <w:i/>
          <w:iCs/>
          <w:color w:val="auto"/>
          <w:sz w:val="22"/>
        </w:rPr>
      </w:pPr>
      <w:r>
        <w:rPr>
          <w:rFonts w:cs="Arial" w:ascii="Arial" w:hAnsi="Arial"/>
          <w:b/>
          <w:i/>
          <w:iCs/>
          <w:color w:val="auto"/>
          <w:sz w:val="22"/>
        </w:rPr>
        <w:t>Procédure (rôle de l’ASL et règles d’indivision)</w:t>
      </w:r>
    </w:p>
    <w:p>
      <w:pPr>
        <w:pStyle w:val="ListParagraph"/>
        <w:rPr>
          <w:rFonts w:ascii="Arial" w:hAnsi="Arial" w:cs="Arial"/>
          <w:b/>
          <w:b/>
          <w:i/>
          <w:i/>
          <w:iCs/>
          <w:color w:val="auto"/>
          <w:sz w:val="22"/>
        </w:rPr>
      </w:pPr>
      <w:r>
        <w:rPr>
          <w:rFonts w:cs="Arial" w:ascii="Arial" w:hAnsi="Arial"/>
          <w:b/>
          <w:i/>
          <w:iCs/>
          <w:color w:val="auto"/>
          <w:sz w:val="22"/>
        </w:rPr>
      </w:r>
    </w:p>
    <w:p>
      <w:pPr>
        <w:pStyle w:val="ListParagraph"/>
        <w:numPr>
          <w:ilvl w:val="0"/>
          <w:numId w:val="3"/>
        </w:numPr>
        <w:jc w:val="both"/>
        <w:rPr>
          <w:rFonts w:ascii="Arial" w:hAnsi="Arial" w:cs="Arial"/>
          <w:b/>
          <w:b/>
          <w:i/>
          <w:i/>
          <w:iCs/>
          <w:color w:val="auto"/>
          <w:sz w:val="22"/>
        </w:rPr>
      </w:pPr>
      <w:r>
        <w:rPr>
          <w:rFonts w:cs="Arial" w:ascii="Arial" w:hAnsi="Arial"/>
          <w:b/>
          <w:i/>
          <w:iCs/>
          <w:color w:val="auto"/>
          <w:sz w:val="22"/>
        </w:rPr>
        <w:t>Indemnisation insuffisante</w:t>
      </w:r>
    </w:p>
    <w:p>
      <w:pPr>
        <w:pStyle w:val="ListParagraph"/>
        <w:widowControl w:val="false"/>
        <w:spacing w:lineRule="auto" w:line="240" w:before="0" w:after="0"/>
        <w:ind w:left="720" w:hanging="0"/>
        <w:jc w:val="both"/>
        <w:rPr>
          <w:rFonts w:ascii="Arial" w:hAnsi="Arial" w:cs="Arial"/>
          <w:bCs/>
          <w:iCs/>
        </w:rPr>
      </w:pPr>
      <w:r>
        <w:rPr>
          <w:rFonts w:cs="Arial" w:ascii="Arial" w:hAnsi="Arial"/>
          <w:bCs/>
          <w:iCs/>
        </w:rPr>
      </w:r>
    </w:p>
    <w:p>
      <w:pPr>
        <w:pStyle w:val="Normal"/>
        <w:spacing w:lineRule="auto" w:line="259" w:before="0" w:after="0"/>
        <w:ind w:left="0" w:hanging="0"/>
        <w:jc w:val="both"/>
        <w:rPr>
          <w:rFonts w:ascii="Arial" w:hAnsi="Arial" w:eastAsia="Times New Roman" w:cs="Arial"/>
          <w:sz w:val="22"/>
        </w:rPr>
      </w:pPr>
      <w:r>
        <w:rPr>
          <w:rFonts w:eastAsia="Times New Roman" w:cs="Arial" w:ascii="Arial" w:hAnsi="Arial"/>
          <w:sz w:val="22"/>
        </w:rPr>
        <w:t xml:space="preserve">On peut constater que le public s’est très peu manifesté lors de cette enquête, bien que les mesures de publicité soient allées au-delà des préconisations règlementaires. </w:t>
      </w:r>
    </w:p>
    <w:p>
      <w:pPr>
        <w:pStyle w:val="Normal"/>
        <w:spacing w:lineRule="auto" w:line="259" w:before="0" w:after="0"/>
        <w:ind w:left="0" w:hanging="0"/>
        <w:jc w:val="both"/>
        <w:rPr>
          <w:rFonts w:ascii="Arial" w:hAnsi="Arial" w:eastAsia="Times New Roman" w:cs="Arial"/>
          <w:sz w:val="22"/>
        </w:rPr>
      </w:pPr>
      <w:r>
        <w:rPr>
          <w:rFonts w:eastAsia="Times New Roman" w:cs="Arial" w:ascii="Arial" w:hAnsi="Arial"/>
          <w:sz w:val="22"/>
        </w:rPr>
        <w:t>Sachant que cette enquête est l’aboutissement de six années de tractations avec les copropriétaires, l’on peut considérer que le voisinage et l’ensemble de la population étaient bien informés. Ce manque de réactions doit plutôt être interprété comme une absence d’oppositions qui s’apparente à une adhésion à un projet qui concerne surtout les copropriétaires concernés et le voisinage immédiat.</w:t>
      </w:r>
    </w:p>
    <w:p>
      <w:pPr>
        <w:pStyle w:val="Normal"/>
        <w:spacing w:lineRule="auto" w:line="259" w:before="0" w:after="0"/>
        <w:ind w:left="0" w:hanging="0"/>
        <w:jc w:val="both"/>
        <w:rPr>
          <w:rFonts w:ascii="Arial" w:hAnsi="Arial" w:eastAsia="Times New Roman" w:cs="Arial"/>
          <w:sz w:val="22"/>
        </w:rPr>
      </w:pPr>
      <w:r>
        <w:rPr>
          <w:rFonts w:eastAsia="Times New Roman" w:cs="Arial" w:ascii="Arial" w:hAnsi="Arial"/>
          <w:sz w:val="22"/>
        </w:rPr>
        <w:t xml:space="preserve">Par ailleurs, l’on peut souligner le travail des services de la ville qui ont pu obtenir l’accord de 58 copropriétaires sur 60.  </w:t>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t>Fait le 12 mars 2024</w:t>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t>Le commissaire enquêteur,</w:t>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r>
    </w:p>
    <w:p>
      <w:pPr>
        <w:pStyle w:val="Normal"/>
        <w:spacing w:lineRule="auto" w:line="259" w:before="0" w:after="0"/>
        <w:ind w:left="0" w:hanging="0"/>
        <w:rPr>
          <w:rFonts w:ascii="Arial" w:hAnsi="Arial" w:eastAsia="Times New Roman" w:cs="Arial"/>
          <w:b/>
          <w:b/>
          <w:bCs/>
          <w:sz w:val="22"/>
        </w:rPr>
      </w:pPr>
      <w:r>
        <w:rPr/>
        <w:drawing>
          <wp:inline distT="0" distB="0" distL="0" distR="0">
            <wp:extent cx="2105025" cy="1066800"/>
            <wp:effectExtent l="0" t="0" r="0" b="0"/>
            <wp:docPr id="31" name="Image5" descr="Une image contenant écriture manuscrite, texte, Police, Dessin d’enf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5" descr="Une image contenant écriture manuscrite, texte, Police, Dessin d’enfant&#10;&#10;Description générée automatiquement"/>
                    <pic:cNvPicPr>
                      <a:picLocks noChangeAspect="1" noChangeArrowheads="1"/>
                    </pic:cNvPicPr>
                  </pic:nvPicPr>
                  <pic:blipFill>
                    <a:blip r:embed="rId29"/>
                    <a:stretch>
                      <a:fillRect/>
                    </a:stretch>
                  </pic:blipFill>
                  <pic:spPr bwMode="auto">
                    <a:xfrm>
                      <a:off x="0" y="0"/>
                      <a:ext cx="2105025" cy="1066800"/>
                    </a:xfrm>
                    <a:prstGeom prst="rect">
                      <a:avLst/>
                    </a:prstGeom>
                  </pic:spPr>
                </pic:pic>
              </a:graphicData>
            </a:graphic>
          </wp:inline>
        </w:drawing>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t>Eric SEYNAVE</w:t>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r>
    </w:p>
    <w:p>
      <w:pPr>
        <w:pStyle w:val="Normal"/>
        <w:spacing w:lineRule="auto" w:line="259" w:before="0" w:after="0"/>
        <w:ind w:left="0" w:hanging="0"/>
        <w:rPr>
          <w:rFonts w:ascii="Arial" w:hAnsi="Arial" w:eastAsia="Times New Roman" w:cs="Arial"/>
          <w:b/>
          <w:b/>
          <w:bCs/>
          <w:sz w:val="22"/>
        </w:rPr>
      </w:pPr>
      <w:r>
        <w:rPr/>
        <mc:AlternateContent>
          <mc:Choice Requires="wps">
            <w:drawing>
              <wp:inline distT="0" distB="0" distL="0" distR="0" wp14:anchorId="3E4705F0">
                <wp:extent cx="305435" cy="305435"/>
                <wp:effectExtent l="0" t="0" r="0" b="0"/>
                <wp:docPr id="32" name="Forme8"/>
                <a:graphic xmlns:a="http://schemas.openxmlformats.org/drawingml/2006/main">
                  <a:graphicData uri="http://schemas.microsoft.com/office/word/2010/wordprocessingShape">
                    <wps:wsp>
                      <wps:cNvSpPr/>
                      <wps:spPr>
                        <a:xfrm>
                          <a:off x="0" y="0"/>
                          <a:ext cx="304920" cy="304920"/>
                        </a:xfrm>
                        <a:prstGeom prst="rect">
                          <a:avLst/>
                        </a:prstGeom>
                        <a:noFill/>
                        <a:ln w="0">
                          <a:noFill/>
                        </a:ln>
                      </wps:spPr>
                      <wps:style>
                        <a:lnRef idx="0"/>
                        <a:fillRef idx="0"/>
                        <a:effectRef idx="0"/>
                        <a:fontRef idx="minor"/>
                      </wps:style>
                      <wps:bodyPr/>
                    </wps:wsp>
                  </a:graphicData>
                </a:graphic>
              </wp:inline>
            </w:drawing>
          </mc:Choice>
          <mc:Fallback>
            <w:pict>
              <v:rect id="shape_0" ID="Forme8" path="m0,0l-2147483645,0l-2147483645,-2147483646l0,-2147483646xe" stroked="f" style="position:absolute;margin-left:0pt;margin-top:-24.05pt;width:23.95pt;height:23.95pt;mso-wrap-style:none;v-text-anchor:middle;mso-position-vertical:top" wp14:anchorId="3E4705F0">
                <v:fill o:detectmouseclick="t" on="false"/>
                <v:stroke color="#3465a4" joinstyle="round" endcap="flat"/>
                <w10:wrap type="square"/>
              </v:rect>
            </w:pict>
          </mc:Fallback>
        </mc:AlternateContent>
      </w:r>
      <w:r>
        <w:rPr/>
        <w:t xml:space="preserve"> </w:t>
      </w:r>
      <w:r>
        <w:rPr/>
        <mc:AlternateContent>
          <mc:Choice Requires="wps">
            <w:drawing>
              <wp:inline distT="0" distB="0" distL="0" distR="0" wp14:anchorId="7D8DFB4E">
                <wp:extent cx="305435" cy="305435"/>
                <wp:effectExtent l="0" t="0" r="0" b="0"/>
                <wp:docPr id="33" name="Forme9"/>
                <a:graphic xmlns:a="http://schemas.openxmlformats.org/drawingml/2006/main">
                  <a:graphicData uri="http://schemas.microsoft.com/office/word/2010/wordprocessingShape">
                    <wps:wsp>
                      <wps:cNvSpPr/>
                      <wps:spPr>
                        <a:xfrm>
                          <a:off x="0" y="0"/>
                          <a:ext cx="304920" cy="304920"/>
                        </a:xfrm>
                        <a:prstGeom prst="rect">
                          <a:avLst/>
                        </a:prstGeom>
                        <a:noFill/>
                        <a:ln w="0">
                          <a:noFill/>
                        </a:ln>
                      </wps:spPr>
                      <wps:style>
                        <a:lnRef idx="0"/>
                        <a:fillRef idx="0"/>
                        <a:effectRef idx="0"/>
                        <a:fontRef idx="minor"/>
                      </wps:style>
                      <wps:bodyPr/>
                    </wps:wsp>
                  </a:graphicData>
                </a:graphic>
              </wp:inline>
            </w:drawing>
          </mc:Choice>
          <mc:Fallback>
            <w:pict>
              <v:rect id="shape_0" ID="Forme9" path="m0,0l-2147483645,0l-2147483645,-2147483646l0,-2147483646xe" stroked="f" style="position:absolute;margin-left:0pt;margin-top:-24.05pt;width:23.95pt;height:23.95pt;mso-wrap-style:none;v-text-anchor:middle;mso-position-vertical:top" wp14:anchorId="7D8DFB4E">
                <v:fill o:detectmouseclick="t" on="false"/>
                <v:stroke color="#3465a4" joinstyle="round" endcap="flat"/>
                <w10:wrap type="square"/>
              </v:rect>
            </w:pict>
          </mc:Fallback>
        </mc:AlternateContent>
      </w:r>
    </w:p>
    <w:p>
      <w:pPr>
        <w:pStyle w:val="Normal"/>
        <w:spacing w:lineRule="auto" w:line="259" w:before="0" w:after="0"/>
        <w:ind w:left="0" w:hanging="0"/>
        <w:rPr>
          <w:rFonts w:ascii="Arial" w:hAnsi="Arial" w:eastAsia="Times New Roman" w:cs="Arial"/>
          <w:b/>
          <w:b/>
          <w:bCs/>
          <w:sz w:val="22"/>
        </w:rPr>
      </w:pPr>
      <w:r>
        <w:rPr/>
        <mc:AlternateContent>
          <mc:Choice Requires="wps">
            <w:drawing>
              <wp:inline distT="0" distB="0" distL="0" distR="0" wp14:anchorId="7377618E">
                <wp:extent cx="305435" cy="305435"/>
                <wp:effectExtent l="0" t="0" r="0" b="0"/>
                <wp:docPr id="34" name="Forme10"/>
                <a:graphic xmlns:a="http://schemas.openxmlformats.org/drawingml/2006/main">
                  <a:graphicData uri="http://schemas.microsoft.com/office/word/2010/wordprocessingShape">
                    <wps:wsp>
                      <wps:cNvSpPr/>
                      <wps:spPr>
                        <a:xfrm>
                          <a:off x="0" y="0"/>
                          <a:ext cx="304920" cy="304920"/>
                        </a:xfrm>
                        <a:prstGeom prst="rect">
                          <a:avLst/>
                        </a:prstGeom>
                        <a:noFill/>
                        <a:ln w="0">
                          <a:noFill/>
                        </a:ln>
                      </wps:spPr>
                      <wps:style>
                        <a:lnRef idx="0"/>
                        <a:fillRef idx="0"/>
                        <a:effectRef idx="0"/>
                        <a:fontRef idx="minor"/>
                      </wps:style>
                      <wps:bodyPr/>
                    </wps:wsp>
                  </a:graphicData>
                </a:graphic>
              </wp:inline>
            </w:drawing>
          </mc:Choice>
          <mc:Fallback>
            <w:pict>
              <v:rect id="shape_0" ID="Forme10" path="m0,0l-2147483645,0l-2147483645,-2147483646l0,-2147483646xe" stroked="f" style="position:absolute;margin-left:0pt;margin-top:-24.05pt;width:23.95pt;height:23.95pt;mso-wrap-style:none;v-text-anchor:middle;mso-position-vertical:top" wp14:anchorId="7377618E">
                <v:fill o:detectmouseclick="t" on="false"/>
                <v:stroke color="#3465a4" joinstyle="round" endcap="flat"/>
                <w10:wrap type="square"/>
              </v:rect>
            </w:pict>
          </mc:Fallback>
        </mc:AlternateContent>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r>
    </w:p>
    <w:p>
      <w:pPr>
        <w:pStyle w:val="ListParagraph"/>
        <w:numPr>
          <w:ilvl w:val="0"/>
          <w:numId w:val="39"/>
        </w:numPr>
        <w:spacing w:lineRule="auto" w:line="259" w:before="0" w:after="0"/>
        <w:contextualSpacing/>
        <w:rPr>
          <w:rFonts w:ascii="Arial" w:hAnsi="Arial" w:eastAsia="Times New Roman" w:cs="Arial"/>
          <w:b/>
          <w:b/>
          <w:bCs/>
          <w:sz w:val="20"/>
          <w:szCs w:val="20"/>
        </w:rPr>
      </w:pPr>
      <w:r>
        <w:rPr>
          <w:rFonts w:eastAsia="Times New Roman" w:cs="Arial" w:ascii="Arial" w:hAnsi="Arial"/>
          <w:b/>
          <w:bCs/>
          <w:sz w:val="22"/>
        </w:rPr>
        <w:t xml:space="preserve">       </w:t>
      </w:r>
      <w:r>
        <w:rPr>
          <w:rFonts w:eastAsia="Times New Roman" w:cs="Arial" w:ascii="Arial" w:hAnsi="Arial"/>
          <w:b/>
          <w:bCs/>
          <w:sz w:val="20"/>
          <w:szCs w:val="20"/>
        </w:rPr>
        <w:t xml:space="preserve">Annexes  </w:t>
      </w:r>
      <w:r>
        <w:rPr>
          <w:rFonts w:eastAsia="Times New Roman" w:cs="Arial" w:ascii="Arial" w:hAnsi="Arial"/>
          <w:sz w:val="20"/>
          <w:szCs w:val="20"/>
        </w:rPr>
        <w:t>(dossier joint au rapport)</w:t>
      </w:r>
    </w:p>
    <w:p>
      <w:pPr>
        <w:pStyle w:val="Normal"/>
        <w:spacing w:lineRule="auto" w:line="259" w:before="0" w:after="0"/>
        <w:ind w:left="0" w:hanging="0"/>
        <w:rPr>
          <w:rFonts w:ascii="Arial" w:hAnsi="Arial" w:eastAsia="Times New Roman" w:cs="Arial"/>
          <w:b/>
          <w:b/>
          <w:bCs/>
          <w:sz w:val="20"/>
          <w:szCs w:val="20"/>
        </w:rPr>
      </w:pPr>
      <w:r>
        <w:rPr>
          <w:rFonts w:eastAsia="Times New Roman" w:cs="Arial" w:ascii="Arial" w:hAnsi="Arial"/>
          <w:b/>
          <w:bCs/>
          <w:sz w:val="20"/>
          <w:szCs w:val="20"/>
        </w:rPr>
      </w:r>
    </w:p>
    <w:p>
      <w:pPr>
        <w:pStyle w:val="ListParagraph"/>
        <w:numPr>
          <w:ilvl w:val="0"/>
          <w:numId w:val="38"/>
        </w:numPr>
        <w:spacing w:lineRule="auto" w:line="259" w:before="0" w:after="0"/>
        <w:ind w:left="741" w:hanging="360"/>
        <w:contextualSpacing/>
        <w:rPr>
          <w:rFonts w:ascii="Arial" w:hAnsi="Arial" w:eastAsia="Times New Roman" w:cs="Arial"/>
          <w:sz w:val="20"/>
          <w:szCs w:val="20"/>
        </w:rPr>
      </w:pPr>
      <w:r>
        <w:rPr>
          <w:rFonts w:eastAsia="Times New Roman" w:cs="Arial" w:ascii="Arial" w:hAnsi="Arial"/>
          <w:sz w:val="20"/>
          <w:szCs w:val="20"/>
        </w:rPr>
        <w:t xml:space="preserve">Dossiers et registres DUP et Parcellaire mis à la disposition du publique pendant la durée de l’enquête et remis le 12 mars 2024 avec deux exemplaires du rapport et des annexes en Préfecture.   </w:t>
      </w:r>
    </w:p>
    <w:p>
      <w:pPr>
        <w:pStyle w:val="Normal"/>
        <w:spacing w:lineRule="auto" w:line="259" w:before="0" w:after="0"/>
        <w:ind w:left="0" w:hanging="0"/>
        <w:rPr>
          <w:rFonts w:ascii="Arial" w:hAnsi="Arial" w:eastAsia="Times New Roman" w:cs="Arial"/>
          <w:sz w:val="20"/>
          <w:szCs w:val="20"/>
        </w:rPr>
      </w:pPr>
      <w:r>
        <w:rPr>
          <w:rFonts w:eastAsia="Times New Roman" w:cs="Arial" w:ascii="Arial" w:hAnsi="Arial"/>
          <w:sz w:val="20"/>
          <w:szCs w:val="20"/>
        </w:rPr>
      </w:r>
    </w:p>
    <w:p>
      <w:pPr>
        <w:pStyle w:val="ListParagraph"/>
        <w:numPr>
          <w:ilvl w:val="0"/>
          <w:numId w:val="38"/>
        </w:numPr>
        <w:spacing w:lineRule="auto" w:line="259" w:before="0" w:after="0"/>
        <w:contextualSpacing/>
        <w:rPr>
          <w:rFonts w:ascii="Arial" w:hAnsi="Arial" w:eastAsia="Times New Roman" w:cs="Arial"/>
          <w:sz w:val="20"/>
          <w:szCs w:val="20"/>
        </w:rPr>
      </w:pPr>
      <w:r>
        <w:rPr>
          <w:rFonts w:eastAsia="Times New Roman" w:cs="Arial" w:ascii="Arial" w:hAnsi="Arial"/>
          <w:sz w:val="20"/>
          <w:szCs w:val="20"/>
        </w:rPr>
        <w:t>Procès-verbal de l’assemblée générale de l’ASL Claire vallée actant les modalités de cession d’unités foncières entre la ville de GONESSE et du Syndicat des copropriétaires Claire Vallée (29 juin 2017)</w:t>
      </w:r>
    </w:p>
    <w:p>
      <w:pPr>
        <w:pStyle w:val="Normal"/>
        <w:spacing w:lineRule="auto" w:line="259" w:before="0" w:after="0"/>
        <w:ind w:left="0" w:hanging="0"/>
        <w:rPr>
          <w:rFonts w:ascii="Arial" w:hAnsi="Arial" w:eastAsia="Times New Roman" w:cs="Arial"/>
          <w:sz w:val="20"/>
          <w:szCs w:val="20"/>
        </w:rPr>
      </w:pPr>
      <w:r>
        <w:rPr>
          <w:rFonts w:eastAsia="Times New Roman" w:cs="Arial" w:ascii="Arial" w:hAnsi="Arial"/>
          <w:sz w:val="20"/>
          <w:szCs w:val="20"/>
        </w:rPr>
      </w:r>
    </w:p>
    <w:p>
      <w:pPr>
        <w:pStyle w:val="ListParagraph"/>
        <w:numPr>
          <w:ilvl w:val="0"/>
          <w:numId w:val="38"/>
        </w:numPr>
        <w:spacing w:lineRule="auto" w:line="259" w:before="0" w:after="0"/>
        <w:contextualSpacing/>
        <w:rPr>
          <w:rFonts w:ascii="Arial" w:hAnsi="Arial" w:eastAsia="Times New Roman" w:cs="Arial"/>
          <w:sz w:val="20"/>
          <w:szCs w:val="20"/>
        </w:rPr>
      </w:pPr>
      <w:r>
        <w:rPr>
          <w:rFonts w:eastAsia="Times New Roman" w:cs="Arial" w:ascii="Arial" w:hAnsi="Arial"/>
          <w:sz w:val="20"/>
          <w:szCs w:val="20"/>
        </w:rPr>
        <w:t>Délibération autorisant le Maire de GONESSE à solliciter auprès du Préfet du Val d’Oise l’ouverture des enquêtes conjointes d’utilité publique et parcellaire préalables à la déclaration d’utilité publique du projet de création d’un lotissement dit « des Jasmins » (CM du 29 mars 2021)</w:t>
      </w:r>
    </w:p>
    <w:p>
      <w:pPr>
        <w:pStyle w:val="ListParagraph"/>
        <w:spacing w:lineRule="auto" w:line="259" w:before="0" w:after="0"/>
        <w:ind w:left="720" w:hanging="0"/>
        <w:contextualSpacing/>
        <w:rPr>
          <w:rFonts w:ascii="Arial" w:hAnsi="Arial" w:eastAsia="Times New Roman" w:cs="Arial"/>
          <w:sz w:val="20"/>
          <w:szCs w:val="20"/>
        </w:rPr>
      </w:pPr>
      <w:r>
        <w:rPr>
          <w:rFonts w:eastAsia="Times New Roman" w:cs="Arial" w:ascii="Arial" w:hAnsi="Arial"/>
          <w:sz w:val="20"/>
          <w:szCs w:val="20"/>
        </w:rPr>
      </w:r>
    </w:p>
    <w:p>
      <w:pPr>
        <w:pStyle w:val="ListParagraph"/>
        <w:numPr>
          <w:ilvl w:val="0"/>
          <w:numId w:val="38"/>
        </w:numPr>
        <w:spacing w:lineRule="auto" w:line="259" w:before="0" w:after="0"/>
        <w:contextualSpacing/>
        <w:rPr>
          <w:rFonts w:ascii="Arial" w:hAnsi="Arial" w:eastAsia="Times New Roman" w:cs="Arial"/>
          <w:sz w:val="20"/>
          <w:szCs w:val="20"/>
        </w:rPr>
      </w:pPr>
      <w:r>
        <w:rPr>
          <w:rFonts w:eastAsia="Times New Roman" w:cs="Arial" w:ascii="Arial" w:hAnsi="Arial"/>
          <w:sz w:val="20"/>
          <w:szCs w:val="20"/>
        </w:rPr>
        <w:t>Demande d’ouverture d’enquête de la ville de GONESSE à la Préfecture du Val d’Oise (24 août 2022)</w:t>
      </w:r>
    </w:p>
    <w:p>
      <w:pPr>
        <w:pStyle w:val="Normal"/>
        <w:spacing w:lineRule="auto" w:line="259" w:before="0" w:after="0"/>
        <w:ind w:left="0" w:hanging="0"/>
        <w:rPr>
          <w:rFonts w:ascii="Arial" w:hAnsi="Arial" w:eastAsia="Times New Roman" w:cs="Arial"/>
          <w:sz w:val="20"/>
          <w:szCs w:val="20"/>
        </w:rPr>
      </w:pPr>
      <w:r>
        <w:rPr>
          <w:rFonts w:eastAsia="Times New Roman" w:cs="Arial" w:ascii="Arial" w:hAnsi="Arial"/>
          <w:sz w:val="20"/>
          <w:szCs w:val="20"/>
        </w:rPr>
      </w:r>
    </w:p>
    <w:p>
      <w:pPr>
        <w:pStyle w:val="ListParagraph"/>
        <w:numPr>
          <w:ilvl w:val="0"/>
          <w:numId w:val="38"/>
        </w:numPr>
        <w:spacing w:lineRule="auto" w:line="259" w:before="0" w:after="0"/>
        <w:contextualSpacing/>
        <w:rPr>
          <w:rFonts w:ascii="Arial" w:hAnsi="Arial" w:eastAsia="Times New Roman" w:cs="Arial"/>
          <w:sz w:val="20"/>
          <w:szCs w:val="20"/>
        </w:rPr>
      </w:pPr>
      <w:r>
        <w:rPr>
          <w:rFonts w:eastAsia="Times New Roman" w:cs="Arial" w:ascii="Arial" w:hAnsi="Arial"/>
          <w:sz w:val="20"/>
          <w:szCs w:val="20"/>
        </w:rPr>
        <w:t xml:space="preserve">Demande de désignation d’un commissaire enquêteur du Préfet du Vald’Oise au Président du Tribunal Administratif de Cergy Pontoise (20 octobre 2023) </w:t>
      </w:r>
    </w:p>
    <w:p>
      <w:pPr>
        <w:pStyle w:val="Normal"/>
        <w:spacing w:lineRule="auto" w:line="259" w:before="0" w:after="0"/>
        <w:ind w:left="0" w:hanging="0"/>
        <w:rPr>
          <w:rFonts w:ascii="Arial" w:hAnsi="Arial" w:eastAsia="Times New Roman" w:cs="Arial"/>
          <w:sz w:val="20"/>
          <w:szCs w:val="20"/>
        </w:rPr>
      </w:pPr>
      <w:r>
        <w:rPr>
          <w:rFonts w:eastAsia="Times New Roman" w:cs="Arial" w:ascii="Arial" w:hAnsi="Arial"/>
          <w:sz w:val="20"/>
          <w:szCs w:val="20"/>
        </w:rPr>
      </w:r>
    </w:p>
    <w:p>
      <w:pPr>
        <w:pStyle w:val="ListParagraph"/>
        <w:numPr>
          <w:ilvl w:val="0"/>
          <w:numId w:val="38"/>
        </w:numPr>
        <w:spacing w:lineRule="auto" w:line="259" w:before="0" w:after="0"/>
        <w:contextualSpacing/>
        <w:rPr>
          <w:rFonts w:ascii="Arial" w:hAnsi="Arial" w:eastAsia="Times New Roman" w:cs="Arial"/>
          <w:sz w:val="20"/>
          <w:szCs w:val="20"/>
        </w:rPr>
      </w:pPr>
      <w:r>
        <w:rPr>
          <w:rFonts w:eastAsia="Times New Roman" w:cs="Arial" w:ascii="Arial" w:hAnsi="Arial"/>
          <w:sz w:val="20"/>
          <w:szCs w:val="20"/>
        </w:rPr>
        <w:t>Attestation sur l’honneur d’Eric SEYNAVE (28 octobre 2023)</w:t>
      </w:r>
    </w:p>
    <w:p>
      <w:pPr>
        <w:pStyle w:val="Normal"/>
        <w:spacing w:lineRule="auto" w:line="259" w:before="0" w:after="0"/>
        <w:ind w:left="0" w:hanging="0"/>
        <w:rPr>
          <w:rFonts w:ascii="Arial" w:hAnsi="Arial" w:eastAsia="Times New Roman" w:cs="Arial"/>
          <w:sz w:val="20"/>
          <w:szCs w:val="20"/>
        </w:rPr>
      </w:pPr>
      <w:r>
        <w:rPr>
          <w:rFonts w:eastAsia="Times New Roman" w:cs="Arial" w:ascii="Arial" w:hAnsi="Arial"/>
          <w:sz w:val="20"/>
          <w:szCs w:val="20"/>
        </w:rPr>
      </w:r>
    </w:p>
    <w:p>
      <w:pPr>
        <w:pStyle w:val="ListParagraph"/>
        <w:numPr>
          <w:ilvl w:val="0"/>
          <w:numId w:val="38"/>
        </w:numPr>
        <w:spacing w:lineRule="auto" w:line="259" w:before="0" w:after="0"/>
        <w:contextualSpacing/>
        <w:rPr>
          <w:rFonts w:ascii="Arial" w:hAnsi="Arial" w:eastAsia="Times New Roman" w:cs="Arial"/>
          <w:sz w:val="20"/>
          <w:szCs w:val="20"/>
        </w:rPr>
      </w:pPr>
      <w:r>
        <w:rPr>
          <w:rFonts w:eastAsia="Times New Roman" w:cs="Arial" w:ascii="Arial" w:hAnsi="Arial"/>
          <w:sz w:val="20"/>
          <w:szCs w:val="20"/>
        </w:rPr>
        <w:t>Décision de désignation d’Eric SEYNAVE en qualité de commissaire enquêteur (22 novembre 2023)</w:t>
      </w:r>
    </w:p>
    <w:p>
      <w:pPr>
        <w:pStyle w:val="Normal"/>
        <w:spacing w:lineRule="auto" w:line="259" w:before="0" w:after="0"/>
        <w:ind w:left="0" w:hanging="0"/>
        <w:rPr>
          <w:rFonts w:ascii="Arial" w:hAnsi="Arial" w:eastAsia="Times New Roman" w:cs="Arial"/>
          <w:sz w:val="20"/>
          <w:szCs w:val="20"/>
        </w:rPr>
      </w:pPr>
      <w:r>
        <w:rPr>
          <w:rFonts w:eastAsia="Times New Roman" w:cs="Arial" w:ascii="Arial" w:hAnsi="Arial"/>
          <w:sz w:val="20"/>
          <w:szCs w:val="20"/>
        </w:rPr>
      </w:r>
    </w:p>
    <w:p>
      <w:pPr>
        <w:pStyle w:val="ListParagraph"/>
        <w:numPr>
          <w:ilvl w:val="0"/>
          <w:numId w:val="38"/>
        </w:numPr>
        <w:spacing w:lineRule="auto" w:line="259" w:before="0" w:after="0"/>
        <w:contextualSpacing/>
        <w:rPr>
          <w:rFonts w:ascii="Arial" w:hAnsi="Arial" w:eastAsia="Times New Roman" w:cs="Arial"/>
          <w:sz w:val="20"/>
          <w:szCs w:val="20"/>
        </w:rPr>
      </w:pPr>
      <w:r>
        <w:rPr>
          <w:rFonts w:eastAsia="Times New Roman" w:cs="Arial" w:ascii="Arial" w:hAnsi="Arial"/>
          <w:sz w:val="20"/>
          <w:szCs w:val="20"/>
        </w:rPr>
        <w:t>Compte rendu de la visio conférence réunissant Mme Fromont (Préfecture du Val d’Oise), Mme Benoit (ville de Gonesse) et Mr Seynave (commissaire enquêteur) (28 novembre 2023)</w:t>
      </w:r>
    </w:p>
    <w:p>
      <w:pPr>
        <w:pStyle w:val="Normal"/>
        <w:spacing w:lineRule="auto" w:line="259" w:before="0" w:after="0"/>
        <w:ind w:left="0" w:hanging="0"/>
        <w:rPr>
          <w:rFonts w:ascii="Arial" w:hAnsi="Arial" w:eastAsia="Times New Roman" w:cs="Arial"/>
          <w:sz w:val="20"/>
          <w:szCs w:val="20"/>
        </w:rPr>
      </w:pPr>
      <w:r>
        <w:rPr>
          <w:rFonts w:eastAsia="Times New Roman" w:cs="Arial" w:ascii="Arial" w:hAnsi="Arial"/>
          <w:sz w:val="20"/>
          <w:szCs w:val="20"/>
        </w:rPr>
      </w:r>
    </w:p>
    <w:p>
      <w:pPr>
        <w:pStyle w:val="ListParagraph"/>
        <w:numPr>
          <w:ilvl w:val="0"/>
          <w:numId w:val="38"/>
        </w:numPr>
        <w:spacing w:lineRule="auto" w:line="259" w:before="0" w:after="0"/>
        <w:contextualSpacing/>
        <w:rPr>
          <w:rFonts w:ascii="Arial" w:hAnsi="Arial" w:eastAsia="Times New Roman" w:cs="Arial"/>
          <w:sz w:val="20"/>
          <w:szCs w:val="20"/>
        </w:rPr>
      </w:pPr>
      <w:r>
        <w:rPr>
          <w:rFonts w:eastAsia="Times New Roman" w:cs="Arial" w:ascii="Arial" w:hAnsi="Arial"/>
          <w:sz w:val="20"/>
          <w:szCs w:val="20"/>
        </w:rPr>
        <w:t>Arrêté N° 2023-17486 du Préfet du Val d’Oise prescrivant l’ouverture, sur le territoire et au profit de la ville de GONESSE, de l’enquête publique (10 janvier 2024)</w:t>
      </w:r>
    </w:p>
    <w:p>
      <w:pPr>
        <w:pStyle w:val="Normal"/>
        <w:spacing w:lineRule="auto" w:line="259" w:before="0" w:after="0"/>
        <w:ind w:left="0" w:hanging="0"/>
        <w:rPr>
          <w:rFonts w:ascii="Arial" w:hAnsi="Arial" w:eastAsia="Times New Roman" w:cs="Arial"/>
          <w:sz w:val="20"/>
          <w:szCs w:val="20"/>
        </w:rPr>
      </w:pPr>
      <w:r>
        <w:rPr>
          <w:rFonts w:eastAsia="Times New Roman" w:cs="Arial" w:ascii="Arial" w:hAnsi="Arial"/>
          <w:sz w:val="20"/>
          <w:szCs w:val="20"/>
        </w:rPr>
      </w:r>
    </w:p>
    <w:p>
      <w:pPr>
        <w:pStyle w:val="ListParagraph"/>
        <w:numPr>
          <w:ilvl w:val="0"/>
          <w:numId w:val="38"/>
        </w:numPr>
        <w:spacing w:lineRule="auto" w:line="259" w:before="0" w:after="0"/>
        <w:contextualSpacing/>
        <w:rPr>
          <w:rFonts w:ascii="Arial" w:hAnsi="Arial" w:eastAsia="Times New Roman" w:cs="Arial"/>
          <w:sz w:val="20"/>
          <w:szCs w:val="20"/>
        </w:rPr>
      </w:pPr>
      <w:r>
        <w:rPr>
          <w:rFonts w:eastAsia="Times New Roman" w:cs="Arial" w:ascii="Arial" w:hAnsi="Arial"/>
          <w:sz w:val="20"/>
          <w:szCs w:val="20"/>
        </w:rPr>
        <w:t>Accusé de réception des dossiers remis par Mme Fromont (Préfecture du Val d’Oise) lors d’une réunion qui s’est tenue dans les locaux de la Préfecture (16 janvier 2024)</w:t>
      </w:r>
    </w:p>
    <w:p>
      <w:pPr>
        <w:pStyle w:val="Normal"/>
        <w:spacing w:lineRule="auto" w:line="259" w:before="0" w:after="0"/>
        <w:ind w:left="0" w:hanging="0"/>
        <w:rPr>
          <w:rFonts w:ascii="Arial" w:hAnsi="Arial" w:eastAsia="Times New Roman" w:cs="Arial"/>
          <w:sz w:val="20"/>
          <w:szCs w:val="20"/>
        </w:rPr>
      </w:pPr>
      <w:r>
        <w:rPr>
          <w:rFonts w:eastAsia="Times New Roman" w:cs="Arial" w:ascii="Arial" w:hAnsi="Arial"/>
          <w:sz w:val="20"/>
          <w:szCs w:val="20"/>
        </w:rPr>
      </w:r>
    </w:p>
    <w:p>
      <w:pPr>
        <w:pStyle w:val="ListParagraph"/>
        <w:numPr>
          <w:ilvl w:val="0"/>
          <w:numId w:val="38"/>
        </w:numPr>
        <w:spacing w:lineRule="auto" w:line="259" w:before="0" w:after="0"/>
        <w:contextualSpacing/>
        <w:rPr>
          <w:rFonts w:ascii="Arial" w:hAnsi="Arial" w:eastAsia="Times New Roman" w:cs="Arial"/>
          <w:sz w:val="20"/>
          <w:szCs w:val="20"/>
        </w:rPr>
      </w:pPr>
      <w:r>
        <w:rPr>
          <w:rFonts w:eastAsia="Times New Roman" w:cs="Arial" w:ascii="Arial" w:hAnsi="Arial"/>
          <w:sz w:val="20"/>
          <w:szCs w:val="20"/>
        </w:rPr>
        <w:t>Compte rendu de la réunion qui s’est tenue le 22 janvier 2024 à la Mairie de Gonesse en présence de Mme Benoit (Directrice de l’Urbanisme), Mme Defouloy (Responsable du service Foncier) et Mr Seynave (commissaire enquêteur) en vue de la préparation de l’enquête publique prévue du 29 janvier au 12 février 2024 (23 janvier 2024)</w:t>
      </w:r>
    </w:p>
    <w:p>
      <w:pPr>
        <w:pStyle w:val="ListParagraph"/>
        <w:rPr>
          <w:rFonts w:ascii="Arial" w:hAnsi="Arial" w:eastAsia="Times New Roman" w:cs="Arial"/>
          <w:sz w:val="20"/>
          <w:szCs w:val="20"/>
        </w:rPr>
      </w:pPr>
      <w:r>
        <w:rPr>
          <w:rFonts w:eastAsia="Times New Roman" w:cs="Arial" w:ascii="Arial" w:hAnsi="Arial"/>
          <w:sz w:val="20"/>
          <w:szCs w:val="20"/>
        </w:rPr>
      </w:r>
    </w:p>
    <w:p>
      <w:pPr>
        <w:pStyle w:val="ListParagraph"/>
        <w:numPr>
          <w:ilvl w:val="0"/>
          <w:numId w:val="38"/>
        </w:numPr>
        <w:spacing w:lineRule="auto" w:line="259" w:before="0" w:after="0"/>
        <w:contextualSpacing/>
        <w:rPr>
          <w:rFonts w:ascii="Arial" w:hAnsi="Arial" w:eastAsia="Times New Roman" w:cs="Arial"/>
          <w:sz w:val="20"/>
          <w:szCs w:val="20"/>
        </w:rPr>
      </w:pPr>
      <w:r>
        <w:rPr>
          <w:rFonts w:eastAsia="Times New Roman" w:cs="Arial" w:ascii="Arial" w:hAnsi="Arial"/>
          <w:sz w:val="20"/>
          <w:szCs w:val="20"/>
        </w:rPr>
        <w:t xml:space="preserve">Avis d‘enquête publique, constat d’affichage de cet avis par la Police Municipale et copie des publications de cet avis dans le Grand Parisien et de la Gazette du val d’Oise du 17/1/2024. </w:t>
      </w:r>
    </w:p>
    <w:p>
      <w:pPr>
        <w:pStyle w:val="Normal"/>
        <w:spacing w:lineRule="auto" w:line="259" w:before="0" w:after="0"/>
        <w:ind w:left="0" w:hanging="0"/>
        <w:rPr>
          <w:rFonts w:ascii="Arial" w:hAnsi="Arial" w:eastAsia="Times New Roman" w:cs="Arial"/>
          <w:sz w:val="20"/>
          <w:szCs w:val="20"/>
        </w:rPr>
      </w:pPr>
      <w:r>
        <w:rPr>
          <w:rFonts w:eastAsia="Times New Roman" w:cs="Arial" w:ascii="Arial" w:hAnsi="Arial"/>
          <w:sz w:val="20"/>
          <w:szCs w:val="20"/>
        </w:rPr>
      </w:r>
    </w:p>
    <w:p>
      <w:pPr>
        <w:pStyle w:val="ListParagraph"/>
        <w:numPr>
          <w:ilvl w:val="0"/>
          <w:numId w:val="38"/>
        </w:numPr>
        <w:spacing w:lineRule="auto" w:line="259" w:before="0" w:after="0"/>
        <w:contextualSpacing/>
        <w:rPr>
          <w:rFonts w:ascii="Arial" w:hAnsi="Arial" w:eastAsia="Times New Roman" w:cs="Arial"/>
          <w:sz w:val="20"/>
          <w:szCs w:val="20"/>
        </w:rPr>
      </w:pPr>
      <w:r>
        <w:rPr>
          <w:rFonts w:eastAsia="Times New Roman" w:cs="Arial" w:ascii="Arial" w:hAnsi="Arial"/>
          <w:sz w:val="20"/>
          <w:szCs w:val="20"/>
        </w:rPr>
        <w:t>Attestation du Gérant de la SARL Assistance Foncière 77540 COURPALAY, avec les noms des 57 propriétaires ayant reçu le règlement du prix acté lors de la vente, sachant qu’un 58 ème accord est en cours de régularisation.</w:t>
      </w:r>
    </w:p>
    <w:p>
      <w:pPr>
        <w:pStyle w:val="Normal"/>
        <w:spacing w:lineRule="auto" w:line="259" w:before="0" w:after="0"/>
        <w:ind w:left="0" w:hanging="0"/>
        <w:rPr>
          <w:rFonts w:ascii="Arial" w:hAnsi="Arial" w:eastAsia="Times New Roman" w:cs="Arial"/>
          <w:sz w:val="20"/>
          <w:szCs w:val="20"/>
        </w:rPr>
      </w:pPr>
      <w:r>
        <w:rPr>
          <w:rFonts w:eastAsia="Times New Roman" w:cs="Arial" w:ascii="Arial" w:hAnsi="Arial"/>
          <w:sz w:val="20"/>
          <w:szCs w:val="20"/>
        </w:rPr>
      </w:r>
    </w:p>
    <w:p>
      <w:pPr>
        <w:pStyle w:val="ListParagraph"/>
        <w:numPr>
          <w:ilvl w:val="0"/>
          <w:numId w:val="38"/>
        </w:numPr>
        <w:spacing w:lineRule="auto" w:line="259" w:before="0" w:after="0"/>
        <w:contextualSpacing/>
        <w:rPr>
          <w:rFonts w:ascii="Arial" w:hAnsi="Arial" w:eastAsia="Times New Roman" w:cs="Arial"/>
          <w:sz w:val="20"/>
          <w:szCs w:val="20"/>
        </w:rPr>
      </w:pPr>
      <w:r>
        <w:rPr>
          <w:rFonts w:eastAsia="Times New Roman" w:cs="Arial" w:ascii="Arial" w:hAnsi="Arial"/>
          <w:sz w:val="20"/>
          <w:szCs w:val="20"/>
        </w:rPr>
        <w:t>Demande de la ville de Gonesse de signification individuelle par voie d’huissier à trois études, situées à Gonesse, Bobigny et Versailles, pour remettre à leurs domiciles les pièces règlementaires, informant les ayants droits des 3 propriétaires, qui n’ont pas signé d’accord (succession Rubira – 5 ayant droits, en cours de régularisation, succession Guelab  M et Mme Gulukyan), de la tenue de l’enquête publique conjointe DUP et Parcellaire demandée par la ville de Gonesse entre le 29 janvier et le 12 février 2024. Certificats d’huissiers et courriers, ont été remis par leurs soins les 25 et 26 janvier 2024. Un exemplaire de ces documents est joint à l’annexe.</w:t>
      </w:r>
    </w:p>
    <w:p>
      <w:pPr>
        <w:pStyle w:val="Normal"/>
        <w:spacing w:lineRule="auto" w:line="254" w:before="0" w:after="155"/>
        <w:ind w:left="0" w:right="861" w:hanging="0"/>
        <w:jc w:val="center"/>
        <w:rPr>
          <w:rFonts w:ascii="Arial" w:hAnsi="Arial" w:cs="Arial"/>
          <w:b/>
          <w:b/>
          <w:bCs/>
        </w:rPr>
      </w:pPr>
      <w:r>
        <w:rPr>
          <w:rFonts w:cs="Arial" w:ascii="Arial" w:hAnsi="Arial"/>
          <w:b/>
          <w:bCs/>
        </w:rPr>
        <w:t>Chapitre II – Conclusion et avis DUP</w:t>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r>
    </w:p>
    <w:p>
      <w:pPr>
        <w:pStyle w:val="Normal"/>
        <w:spacing w:lineRule="auto" w:line="259" w:before="0" w:after="156"/>
        <w:ind w:left="0" w:hanging="0"/>
        <w:rPr>
          <w:rFonts w:ascii="Arial" w:hAnsi="Arial" w:cs="Arial"/>
          <w:sz w:val="22"/>
        </w:rPr>
      </w:pPr>
      <w:r>
        <w:rPr>
          <w:rFonts w:cs="Arial" w:ascii="Arial" w:hAnsi="Arial"/>
          <w:b/>
          <w:bCs/>
          <w:sz w:val="22"/>
        </w:rPr>
        <w:t>Préambule</w:t>
      </w:r>
    </w:p>
    <w:p>
      <w:pPr>
        <w:pStyle w:val="Normal"/>
        <w:ind w:left="12" w:right="51" w:hanging="10"/>
        <w:rPr>
          <w:rFonts w:ascii="Arial" w:hAnsi="Arial" w:cs="Arial"/>
          <w:sz w:val="22"/>
        </w:rPr>
      </w:pPr>
      <w:r>
        <w:rPr>
          <w:rFonts w:cs="Arial" w:ascii="Arial" w:hAnsi="Arial"/>
          <w:sz w:val="22"/>
        </w:rPr>
        <w:t xml:space="preserve"> </w:t>
      </w:r>
      <w:r>
        <w:rPr>
          <w:rFonts w:cs="Arial" w:ascii="Arial" w:hAnsi="Arial"/>
          <w:sz w:val="22"/>
        </w:rPr>
        <w:t xml:space="preserve">La commune de GONESSE a demandé l’ouverture d’une enquête publique conjointe préalable à la déclaration d’utilité publique (DUP) et parcellaire relative au projet de réalisation d’un lotissement </w:t>
      </w:r>
      <w:r>
        <w:rPr>
          <w:rFonts w:cs="Arial" w:ascii="Arial" w:hAnsi="Arial"/>
          <w:bCs/>
          <w:sz w:val="22"/>
        </w:rPr>
        <w:t>dit « des Jasmins » d’habitat individuel groupé de 20 lots à bâtir et d’espaces publics aménagés sur des délaissés fonciers.</w:t>
      </w:r>
      <w:bookmarkStart w:id="16" w:name="_Hlk109913947"/>
      <w:bookmarkEnd w:id="16"/>
    </w:p>
    <w:p>
      <w:pPr>
        <w:pStyle w:val="Normal"/>
        <w:ind w:left="31" w:right="51" w:hanging="10"/>
        <w:rPr>
          <w:rFonts w:ascii="Arial" w:hAnsi="Arial" w:cs="Arial"/>
          <w:sz w:val="22"/>
        </w:rPr>
      </w:pPr>
      <w:r>
        <w:rPr>
          <w:rFonts w:cs="Arial" w:ascii="Arial" w:hAnsi="Arial"/>
          <w:sz w:val="22"/>
        </w:rPr>
        <w:t>La commune de Gonesse n’étant pas propriétaire de la totalité du terrain d’assiette devant être déclaré d’utilité publique, le recours à l’expropriation s’avère nécessaire en vue d’acquérir en totalité ou en partie les parcelles cadastrées AD n°865, 866, 867, 869, 885, 886 (espaces verts) et 888 (voirie). Il s’agit en fait de plusieurs lots de propriété indivise qui, ajoutés aux parcelles dont la commune est déjà propriétaire, permettront la réalisation de ce lotissement.</w:t>
      </w:r>
    </w:p>
    <w:p>
      <w:pPr>
        <w:pStyle w:val="Titre3"/>
        <w:rPr>
          <w:rFonts w:ascii="Arial" w:hAnsi="Arial" w:cs="Arial"/>
          <w:b w:val="false"/>
          <w:b w:val="false"/>
          <w:bCs/>
          <w:color w:val="auto"/>
          <w:sz w:val="22"/>
          <w:u w:val="none"/>
        </w:rPr>
      </w:pPr>
      <w:r>
        <w:rPr>
          <w:rFonts w:cs="Arial" w:ascii="Arial" w:hAnsi="Arial"/>
          <w:b w:val="false"/>
          <w:bCs/>
          <w:color w:val="auto"/>
          <w:sz w:val="22"/>
          <w:u w:val="none"/>
        </w:rPr>
        <w:t xml:space="preserve">Le projet d’expropriation, a donc pour objectif la création d’un lotissement, dit « des Jasmins », de 20 lots à bâtir destinés à l’accueil de maisons individuelles à coût maîtrisé en accession libre à la propriété, d’une aire de jeux, d’un terrain de pétanque et de places de stationnement publiques. </w:t>
      </w:r>
    </w:p>
    <w:p>
      <w:pPr>
        <w:pStyle w:val="Titre3"/>
        <w:rPr>
          <w:rFonts w:ascii="Arial" w:hAnsi="Arial" w:cs="Arial"/>
          <w:b w:val="false"/>
          <w:b w:val="false"/>
          <w:bCs/>
          <w:color w:val="auto"/>
          <w:sz w:val="22"/>
          <w:u w:val="none"/>
        </w:rPr>
      </w:pPr>
      <w:r>
        <w:rPr>
          <w:rFonts w:cs="Arial" w:ascii="Arial" w:hAnsi="Arial"/>
          <w:b w:val="false"/>
          <w:bCs/>
          <w:color w:val="auto"/>
          <w:sz w:val="22"/>
          <w:u w:val="none"/>
        </w:rPr>
        <w:t>Cette opération s’inscrit dans les objectifs de la politique locale de l’habitat, car la création de foncier à coût maîtrisé doit permettre l’amélioration et la diversification de l’offre de logements.</w:t>
      </w:r>
    </w:p>
    <w:p>
      <w:pPr>
        <w:pStyle w:val="Normal"/>
        <w:ind w:left="17" w:hanging="0"/>
        <w:rPr>
          <w:rFonts w:ascii="Arial" w:hAnsi="Arial" w:cs="Arial"/>
          <w:sz w:val="22"/>
        </w:rPr>
      </w:pPr>
      <w:r>
        <w:rPr>
          <w:rFonts w:cs="Arial" w:ascii="Arial" w:hAnsi="Arial"/>
          <w:color w:val="auto"/>
          <w:sz w:val="22"/>
        </w:rPr>
        <w:t>Cet objectif est inscrit depuis 2017 dans le Projet d’Aménagement et de Développement Durable du Plan Local d’Urbanisme en vigueur</w:t>
      </w:r>
      <w:r>
        <w:rPr>
          <w:rFonts w:cs="Arial" w:ascii="Arial" w:hAnsi="Arial"/>
          <w:sz w:val="22"/>
        </w:rPr>
        <w:t xml:space="preserve"> et fait l’objet d’un zonage spécifique.</w:t>
      </w:r>
    </w:p>
    <w:p>
      <w:pPr>
        <w:pStyle w:val="Normal"/>
        <w:rPr>
          <w:rFonts w:ascii="Arial" w:hAnsi="Arial" w:cs="Arial"/>
          <w:sz w:val="22"/>
        </w:rPr>
      </w:pPr>
      <w:r>
        <w:rPr>
          <w:rFonts w:cs="Arial" w:ascii="Arial" w:hAnsi="Arial"/>
          <w:sz w:val="22"/>
        </w:rPr>
        <w:t>Les terrains concernés par la procédure d’expropriation sont issus des espaces communs délaissés d’un groupe d’habitation</w:t>
      </w:r>
      <w:r>
        <w:rPr>
          <w:rFonts w:ascii="Arial" w:hAnsi="Arial"/>
          <w:sz w:val="22"/>
        </w:rPr>
        <w:t xml:space="preserve"> </w:t>
      </w:r>
      <w:r>
        <w:rPr>
          <w:rFonts w:cs="Arial" w:ascii="Arial" w:hAnsi="Arial"/>
          <w:sz w:val="22"/>
        </w:rPr>
        <w:t>comprenant un immeuble de 32 appartements (ainsi que 32 caves, locaux communs et cour) et 28 pavillons individuels. Cette opération a été réalisée en 1967 par la Société Parisienne d’Etudes et de Recherche Foncière (SOPEREF). Une Association Syndicale Libre dénommée « </w:t>
      </w:r>
      <w:r>
        <w:rPr>
          <w:rFonts w:cs="Arial" w:ascii="Arial" w:hAnsi="Arial"/>
          <w:i/>
          <w:iCs/>
          <w:sz w:val="22"/>
        </w:rPr>
        <w:t>ASL Claire Vallée</w:t>
      </w:r>
      <w:r>
        <w:rPr>
          <w:rFonts w:cs="Arial" w:ascii="Arial" w:hAnsi="Arial"/>
          <w:sz w:val="22"/>
        </w:rPr>
        <w:t xml:space="preserve"> » a été créée afin d’administrer les équipements communs placés sous le régime de l’indivision forcée. </w:t>
      </w:r>
    </w:p>
    <w:p>
      <w:pPr>
        <w:pStyle w:val="Normal"/>
        <w:rPr>
          <w:rFonts w:ascii="Arial" w:hAnsi="Arial" w:cs="Arial"/>
          <w:sz w:val="22"/>
        </w:rPr>
      </w:pPr>
      <w:r>
        <w:rPr>
          <w:rFonts w:cs="Arial" w:ascii="Arial" w:hAnsi="Arial"/>
          <w:sz w:val="22"/>
        </w:rPr>
        <w:t>Ces parcelles sont donc restées appartenir aux 60 propriétaires indivis du groupe d’habitations, lesquels sont tous membres de droit de l’ASL Claire Vallée. Avec le temps, l’entretien de ces équipements est devenu de plus en plus difficile compte tenu du niveau de charge qui en résulte et ces terrains sont aujourd’hui délaissés et réduits à l’état de friches, inutilisables par les habitants.</w:t>
      </w:r>
    </w:p>
    <w:p>
      <w:pPr>
        <w:pStyle w:val="Normal"/>
        <w:rPr>
          <w:rFonts w:ascii="Arial" w:hAnsi="Arial" w:cs="Arial"/>
          <w:sz w:val="22"/>
        </w:rPr>
      </w:pPr>
      <w:r>
        <w:rPr>
          <w:rFonts w:cs="Arial" w:ascii="Arial" w:hAnsi="Arial"/>
          <w:sz w:val="22"/>
        </w:rPr>
        <w:t xml:space="preserve">En 2017, la ville de GONESSE a proposé aux membres de l’ASL </w:t>
      </w:r>
      <w:r>
        <w:rPr>
          <w:rFonts w:cs="Arial" w:ascii="Arial" w:hAnsi="Arial"/>
          <w:i/>
          <w:iCs/>
          <w:sz w:val="22"/>
        </w:rPr>
        <w:t xml:space="preserve">« Claire Vallée », </w:t>
      </w:r>
      <w:r>
        <w:rPr>
          <w:rFonts w:cs="Arial" w:ascii="Arial" w:hAnsi="Arial"/>
          <w:sz w:val="22"/>
        </w:rPr>
        <w:t>dans le cadre de l’assemblée générale du 29 juin 2017, l’acquisition des parcelles concernées pour un prix de 230 000 €. Cette proposition a été acceptée par 45 des propriétaires indivis présents sur 46, qui représentaient 76 % des tantièmes de l’ASL.</w:t>
      </w:r>
    </w:p>
    <w:p>
      <w:pPr>
        <w:pStyle w:val="Normal"/>
        <w:rPr>
          <w:rFonts w:ascii="Arial" w:hAnsi="Arial" w:cs="Arial"/>
          <w:sz w:val="22"/>
        </w:rPr>
      </w:pPr>
      <w:r>
        <w:rPr>
          <w:rFonts w:cs="Arial" w:ascii="Arial" w:hAnsi="Arial"/>
          <w:sz w:val="22"/>
        </w:rPr>
        <w:t>Depuis cette date, la ville de GONESSE a missionné la SARL Assistance Foncière pour obtenir des accords amiables avec les 60 propriétaires indivis concernés. A ce jour, 57 accords ont été obtenus, une acquisition est en cours de signature, une succession s’avère insoluble en raison de la disparition d’un des héritiers à l’étranger et il reste un opposant qui s’est manifesté lors de l’enquête.</w:t>
      </w:r>
    </w:p>
    <w:p>
      <w:pPr>
        <w:pStyle w:val="Normal"/>
        <w:rPr>
          <w:rFonts w:ascii="Arial" w:hAnsi="Arial" w:cs="Arial"/>
          <w:sz w:val="22"/>
        </w:rPr>
      </w:pPr>
      <w:r>
        <w:rPr>
          <w:rFonts w:cs="Arial" w:ascii="Arial" w:hAnsi="Arial"/>
          <w:sz w:val="22"/>
        </w:rPr>
      </w:r>
    </w:p>
    <w:p>
      <w:pPr>
        <w:pStyle w:val="Normal"/>
        <w:ind w:left="12" w:right="51" w:hanging="10"/>
        <w:rPr>
          <w:rFonts w:ascii="Arial" w:hAnsi="Arial" w:cs="Arial"/>
          <w:sz w:val="22"/>
        </w:rPr>
      </w:pPr>
      <w:r>
        <w:rPr>
          <w:rFonts w:cs="Arial" w:ascii="Arial" w:hAnsi="Arial"/>
          <w:sz w:val="22"/>
        </w:rPr>
        <w:t xml:space="preserve">L’article 545 du Code Civil stipule que : </w:t>
      </w:r>
    </w:p>
    <w:p>
      <w:pPr>
        <w:pStyle w:val="Normal"/>
        <w:spacing w:lineRule="auto" w:line="247"/>
        <w:ind w:left="2" w:right="48" w:firstLine="708"/>
        <w:rPr>
          <w:rFonts w:ascii="Arial" w:hAnsi="Arial" w:cs="Arial"/>
          <w:sz w:val="22"/>
        </w:rPr>
      </w:pPr>
      <w:r>
        <w:rPr>
          <w:rFonts w:cs="Arial" w:ascii="Arial" w:hAnsi="Arial"/>
          <w:sz w:val="22"/>
        </w:rPr>
        <w:t xml:space="preserve"> </w:t>
      </w:r>
      <w:r>
        <w:rPr>
          <w:rFonts w:cs="Arial" w:ascii="Arial" w:hAnsi="Arial"/>
          <w:sz w:val="22"/>
        </w:rPr>
        <w:t xml:space="preserve">« </w:t>
      </w:r>
      <w:r>
        <w:rPr>
          <w:rFonts w:cs="Arial" w:ascii="Arial" w:hAnsi="Arial"/>
          <w:i/>
          <w:iCs/>
          <w:sz w:val="22"/>
        </w:rPr>
        <w:t>nul ne peut être contraint de céder sa propriété, si ce n’est pour cause d’utilité publique et moyennant une juste et préalable indemnité</w:t>
      </w:r>
      <w:r>
        <w:rPr>
          <w:rFonts w:cs="Arial" w:ascii="Arial" w:hAnsi="Arial"/>
          <w:sz w:val="22"/>
        </w:rPr>
        <w:t xml:space="preserve"> ». </w:t>
      </w:r>
    </w:p>
    <w:p>
      <w:pPr>
        <w:pStyle w:val="Normal"/>
        <w:ind w:left="2" w:right="51" w:firstLine="708"/>
        <w:rPr>
          <w:rFonts w:ascii="Arial" w:hAnsi="Arial" w:cs="Arial"/>
          <w:sz w:val="22"/>
        </w:rPr>
      </w:pPr>
      <w:r>
        <w:rPr>
          <w:rFonts w:cs="Arial" w:ascii="Arial" w:hAnsi="Arial"/>
          <w:sz w:val="22"/>
        </w:rPr>
        <w:t xml:space="preserve">L’expropriation ne peut avoir lieu qu’à la condition qu’elle réponde à une utilité publique préalablement et formellement constatée à la suite d’une enquête publique et qu’il ait été procédé à la détermination des parcelles à exproprier ainsi qu’à la recherche des propriétaires, des titulaires de droits réels et des autres personnes intéressées. Deux enquêtes sont nécessaires : l’enquête préalable à la déclaration d’utilité publique et l’enquête parcellaire. </w:t>
      </w:r>
    </w:p>
    <w:p>
      <w:pPr>
        <w:pStyle w:val="Normal"/>
        <w:ind w:left="2" w:right="51" w:firstLine="708"/>
        <w:rPr>
          <w:rFonts w:ascii="Arial" w:hAnsi="Arial" w:cs="Arial"/>
          <w:b/>
          <w:b/>
          <w:bCs/>
          <w:sz w:val="22"/>
        </w:rPr>
      </w:pPr>
      <w:r>
        <w:rPr>
          <w:rFonts w:cs="Arial" w:ascii="Arial" w:hAnsi="Arial"/>
          <w:b/>
          <w:bCs/>
          <w:sz w:val="22"/>
        </w:rPr>
        <w:t xml:space="preserve">Les présentes conclusions concernent l’enquête préalable à la déclaration d’utilité publique « DUP ». </w:t>
      </w:r>
    </w:p>
    <w:p>
      <w:pPr>
        <w:pStyle w:val="Normal"/>
        <w:spacing w:lineRule="auto" w:line="393" w:before="0" w:after="2"/>
        <w:ind w:left="2" w:right="4135" w:firstLine="4135"/>
        <w:rPr>
          <w:rFonts w:ascii="Arial" w:hAnsi="Arial" w:cs="Arial"/>
          <w:sz w:val="22"/>
        </w:rPr>
      </w:pPr>
      <w:r>
        <w:rPr>
          <w:rFonts w:cs="Arial" w:ascii="Arial" w:hAnsi="Arial"/>
          <w:sz w:val="22"/>
        </w:rPr>
        <w:t xml:space="preserve">----------  </w:t>
      </w:r>
    </w:p>
    <w:p>
      <w:pPr>
        <w:pStyle w:val="Normal"/>
        <w:spacing w:lineRule="auto" w:line="268" w:before="0" w:after="146"/>
        <w:ind w:left="12" w:hanging="10"/>
        <w:rPr>
          <w:rFonts w:ascii="Arial" w:hAnsi="Arial" w:cs="Arial"/>
          <w:b/>
          <w:b/>
          <w:bCs/>
          <w:color w:val="auto"/>
          <w:sz w:val="22"/>
        </w:rPr>
      </w:pPr>
      <w:r>
        <w:rPr>
          <w:rFonts w:cs="Arial" w:ascii="Arial" w:hAnsi="Arial"/>
          <w:b/>
          <w:bCs/>
          <w:color w:val="auto"/>
          <w:sz w:val="22"/>
        </w:rPr>
        <w:t xml:space="preserve">Vu </w:t>
      </w:r>
    </w:p>
    <w:p>
      <w:pPr>
        <w:pStyle w:val="ListParagraph"/>
        <w:numPr>
          <w:ilvl w:val="0"/>
          <w:numId w:val="23"/>
        </w:numPr>
        <w:spacing w:lineRule="auto" w:line="256" w:before="0" w:after="158"/>
        <w:ind w:left="720" w:right="62" w:hanging="360"/>
        <w:contextualSpacing/>
        <w:jc w:val="both"/>
        <w:rPr>
          <w:rFonts w:ascii="Arial" w:hAnsi="Arial" w:cs="Arial"/>
          <w:color w:val="auto"/>
          <w:sz w:val="22"/>
        </w:rPr>
      </w:pPr>
      <w:r>
        <w:rPr>
          <w:rFonts w:cs="Arial" w:ascii="Arial" w:hAnsi="Arial"/>
          <w:color w:val="auto"/>
          <w:sz w:val="22"/>
        </w:rPr>
        <w:t>la décision E23000057/95 du 22 novembre 2023 , par laquelle le Tribunal Administratif de Cergy-Pontoise a désigné Monsieur Eric SEYNAVE en qualité de commissaire-enquêteur pour conduire l’enquête préalable à la déclaration d’utilité publique portant sur le projet de réalisation d’un lotissement dit « des Jasmins » d’habitat individuel groupé de 20 lots à bâtir et d’espaces publics aménagés sur des délaissés fonciers (DUP et parcellaire).</w:t>
      </w:r>
    </w:p>
    <w:p>
      <w:pPr>
        <w:pStyle w:val="ListParagraph"/>
        <w:spacing w:lineRule="auto" w:line="256" w:before="0" w:after="158"/>
        <w:ind w:left="720" w:right="62" w:hanging="0"/>
        <w:contextualSpacing/>
        <w:rPr>
          <w:rFonts w:ascii="Arial" w:hAnsi="Arial" w:cs="Arial"/>
          <w:color w:val="auto"/>
          <w:sz w:val="22"/>
        </w:rPr>
      </w:pPr>
      <w:r>
        <w:rPr>
          <w:rFonts w:cs="Arial" w:ascii="Arial" w:hAnsi="Arial"/>
          <w:color w:val="auto"/>
          <w:sz w:val="22"/>
        </w:rPr>
        <w:t xml:space="preserve"> </w:t>
      </w:r>
    </w:p>
    <w:p>
      <w:pPr>
        <w:pStyle w:val="ListParagraph"/>
        <w:numPr>
          <w:ilvl w:val="0"/>
          <w:numId w:val="23"/>
        </w:numPr>
        <w:spacing w:lineRule="auto" w:line="256" w:before="0" w:after="158"/>
        <w:ind w:left="720" w:right="62" w:hanging="360"/>
        <w:contextualSpacing/>
        <w:jc w:val="both"/>
        <w:rPr>
          <w:rFonts w:ascii="Arial" w:hAnsi="Arial" w:cs="Arial"/>
          <w:color w:val="auto"/>
          <w:sz w:val="22"/>
        </w:rPr>
      </w:pPr>
      <w:r>
        <w:rPr>
          <w:rFonts w:cs="Arial" w:ascii="Arial" w:hAnsi="Arial"/>
          <w:color w:val="auto"/>
          <w:sz w:val="22"/>
        </w:rPr>
        <w:t>l’arrêté préfectoral du 10 janvier 2024, par lequel Monsieur le Préfet du Val d’Oise a prescrit l’organisation de l’enquête publique conjointe sur le projet précité, et énoncé les modalités de déroulement de l’enquête qui s’est tenue du 29 janvier 2024 au12 février 2024 inclus, soit 15 jours consécutifs, afin que chacun puisse prendre connaissance des dossiers aux jours et heures d’ouverture des bureaux de la mairie de GONESSE, siège de l’enquête.</w:t>
      </w:r>
    </w:p>
    <w:p>
      <w:pPr>
        <w:pStyle w:val="ListParagraph"/>
        <w:rPr>
          <w:rFonts w:ascii="Arial" w:hAnsi="Arial" w:cs="Arial"/>
          <w:color w:val="auto"/>
          <w:sz w:val="22"/>
        </w:rPr>
      </w:pPr>
      <w:r>
        <w:rPr>
          <w:rFonts w:cs="Arial" w:ascii="Arial" w:hAnsi="Arial"/>
          <w:color w:val="auto"/>
          <w:sz w:val="22"/>
        </w:rPr>
      </w:r>
    </w:p>
    <w:p>
      <w:pPr>
        <w:pStyle w:val="ListParagraph"/>
        <w:numPr>
          <w:ilvl w:val="0"/>
          <w:numId w:val="23"/>
        </w:numPr>
        <w:spacing w:lineRule="auto" w:line="247" w:before="0" w:after="169"/>
        <w:ind w:left="720" w:right="51" w:hanging="360"/>
        <w:contextualSpacing/>
        <w:jc w:val="both"/>
        <w:rPr>
          <w:rFonts w:ascii="Arial" w:hAnsi="Arial" w:cs="Arial"/>
          <w:color w:val="auto"/>
          <w:sz w:val="22"/>
        </w:rPr>
      </w:pPr>
      <w:r>
        <w:rPr>
          <w:rFonts w:cs="Arial" w:ascii="Arial" w:hAnsi="Arial"/>
          <w:color w:val="auto"/>
          <w:sz w:val="22"/>
        </w:rPr>
        <w:t xml:space="preserve">la composition des dossiers d’enquête constitués tant pour l’enquête préalable à la déclaration d’utilité publique que pour l’enquête parcellaire. </w:t>
      </w:r>
    </w:p>
    <w:p>
      <w:pPr>
        <w:pStyle w:val="Normal"/>
        <w:spacing w:lineRule="auto" w:line="259" w:before="0" w:after="156"/>
        <w:ind w:left="17" w:hanging="0"/>
        <w:rPr>
          <w:rFonts w:ascii="Arial" w:hAnsi="Arial" w:cs="Arial"/>
          <w:color w:val="auto"/>
          <w:sz w:val="22"/>
        </w:rPr>
      </w:pPr>
      <w:r>
        <w:rPr>
          <w:rFonts w:cs="Arial" w:ascii="Arial" w:hAnsi="Arial"/>
          <w:color w:val="auto"/>
          <w:sz w:val="22"/>
        </w:rPr>
        <w:t xml:space="preserve"> </w:t>
      </w:r>
    </w:p>
    <w:p>
      <w:pPr>
        <w:pStyle w:val="Titre1"/>
        <w:ind w:left="10" w:right="50" w:hanging="10"/>
        <w:jc w:val="both"/>
        <w:rPr>
          <w:rFonts w:ascii="Arial" w:hAnsi="Arial" w:cs="Arial"/>
          <w:b/>
          <w:b/>
          <w:bCs/>
          <w:color w:val="auto"/>
          <w:sz w:val="22"/>
        </w:rPr>
      </w:pPr>
      <w:r>
        <w:rPr>
          <w:rFonts w:cs="Arial" w:ascii="Arial" w:hAnsi="Arial"/>
          <w:b/>
          <w:bCs/>
          <w:color w:val="auto"/>
          <w:sz w:val="22"/>
        </w:rPr>
        <w:t>Compte-tenu</w:t>
      </w:r>
    </w:p>
    <w:p>
      <w:pPr>
        <w:pStyle w:val="Normal"/>
        <w:spacing w:lineRule="auto" w:line="259" w:before="0" w:after="158"/>
        <w:ind w:left="17" w:hanging="0"/>
        <w:rPr>
          <w:rFonts w:ascii="Arial" w:hAnsi="Arial" w:cs="Arial"/>
          <w:color w:val="auto"/>
          <w:sz w:val="22"/>
        </w:rPr>
      </w:pPr>
      <w:r>
        <w:rPr>
          <w:rFonts w:cs="Arial" w:ascii="Arial" w:hAnsi="Arial"/>
          <w:color w:val="auto"/>
          <w:sz w:val="22"/>
        </w:rPr>
        <w:t xml:space="preserve"> </w:t>
      </w:r>
    </w:p>
    <w:p>
      <w:pPr>
        <w:pStyle w:val="ListParagraph"/>
        <w:numPr>
          <w:ilvl w:val="0"/>
          <w:numId w:val="24"/>
        </w:numPr>
        <w:spacing w:lineRule="auto" w:line="247" w:before="0" w:after="169"/>
        <w:ind w:left="722" w:right="51" w:hanging="360"/>
        <w:contextualSpacing/>
        <w:jc w:val="both"/>
        <w:rPr>
          <w:rFonts w:ascii="Arial" w:hAnsi="Arial" w:cs="Arial"/>
          <w:color w:val="auto"/>
          <w:sz w:val="22"/>
        </w:rPr>
      </w:pPr>
      <w:r>
        <w:rPr>
          <w:rFonts w:cs="Arial" w:ascii="Arial" w:hAnsi="Arial"/>
          <w:color w:val="auto"/>
          <w:sz w:val="22"/>
        </w:rPr>
        <w:t xml:space="preserve">de son analyse, exposée dans son rapport d’enquête fondée sur l’examen du dossier d’enquête, sur les observations du public, sur les échanges avec les élus et les services de la commune de GONESSE et des réponses apportées par la commune. </w:t>
      </w:r>
    </w:p>
    <w:p>
      <w:pPr>
        <w:pStyle w:val="Normal"/>
        <w:spacing w:lineRule="auto" w:line="259" w:before="0" w:after="158"/>
        <w:ind w:left="0" w:hanging="0"/>
        <w:rPr>
          <w:rFonts w:ascii="Arial" w:hAnsi="Arial" w:cs="Arial"/>
          <w:color w:val="auto"/>
          <w:sz w:val="22"/>
        </w:rPr>
      </w:pPr>
      <w:r>
        <w:rPr>
          <w:rFonts w:cs="Arial" w:ascii="Arial" w:hAnsi="Arial"/>
          <w:color w:val="auto"/>
          <w:sz w:val="22"/>
        </w:rPr>
      </w:r>
    </w:p>
    <w:p>
      <w:pPr>
        <w:pStyle w:val="Titre1"/>
        <w:ind w:left="10" w:right="47" w:hanging="10"/>
        <w:jc w:val="both"/>
        <w:rPr>
          <w:rFonts w:ascii="Arial" w:hAnsi="Arial" w:cs="Arial"/>
          <w:b/>
          <w:b/>
          <w:bCs/>
          <w:color w:val="auto"/>
          <w:sz w:val="22"/>
        </w:rPr>
      </w:pPr>
      <w:r>
        <w:rPr>
          <w:rFonts w:cs="Arial" w:ascii="Arial" w:hAnsi="Arial"/>
          <w:b/>
          <w:bCs/>
          <w:color w:val="auto"/>
          <w:sz w:val="22"/>
        </w:rPr>
        <w:t>Après avoir</w:t>
      </w:r>
      <w:r>
        <w:rPr>
          <w:rFonts w:cs="Arial" w:ascii="Arial" w:hAnsi="Arial"/>
          <w:color w:val="auto"/>
          <w:sz w:val="22"/>
        </w:rPr>
        <w:t xml:space="preserve"> </w:t>
      </w:r>
    </w:p>
    <w:p>
      <w:pPr>
        <w:pStyle w:val="ListParagraph"/>
        <w:numPr>
          <w:ilvl w:val="0"/>
          <w:numId w:val="24"/>
        </w:numPr>
        <w:spacing w:lineRule="auto" w:line="256" w:before="0" w:after="158"/>
        <w:ind w:left="722" w:right="62" w:hanging="360"/>
        <w:contextualSpacing/>
        <w:jc w:val="both"/>
        <w:rPr>
          <w:rFonts w:ascii="Arial" w:hAnsi="Arial" w:cs="Arial"/>
          <w:color w:val="auto"/>
          <w:sz w:val="22"/>
        </w:rPr>
      </w:pPr>
      <w:r>
        <w:rPr>
          <w:rFonts w:cs="Arial" w:ascii="Arial" w:hAnsi="Arial"/>
          <w:color w:val="auto"/>
          <w:sz w:val="22"/>
        </w:rPr>
        <w:t>accepté cette mission, n’ayant exercé aucune activité, au titre de ses fonctions précédentes ou en cours qui pourrait être jugée incompatible avec la fonction de commissaire enquêteur et attestant qu’il n’a pas d’intérêt personnel au projet,</w:t>
      </w:r>
    </w:p>
    <w:p>
      <w:pPr>
        <w:pStyle w:val="ListParagraph"/>
        <w:spacing w:lineRule="auto" w:line="256" w:before="0" w:after="158"/>
        <w:ind w:left="722" w:right="62" w:hanging="0"/>
        <w:contextualSpacing/>
        <w:rPr>
          <w:rFonts w:ascii="Arial" w:hAnsi="Arial" w:cs="Arial"/>
          <w:color w:val="auto"/>
          <w:sz w:val="22"/>
        </w:rPr>
      </w:pPr>
      <w:r>
        <w:rPr>
          <w:rFonts w:cs="Arial" w:ascii="Arial" w:hAnsi="Arial"/>
          <w:color w:val="auto"/>
          <w:sz w:val="22"/>
        </w:rPr>
      </w:r>
    </w:p>
    <w:p>
      <w:pPr>
        <w:pStyle w:val="ListParagraph"/>
        <w:numPr>
          <w:ilvl w:val="0"/>
          <w:numId w:val="24"/>
        </w:numPr>
        <w:spacing w:lineRule="auto" w:line="247" w:before="0" w:after="169"/>
        <w:ind w:left="722" w:right="51" w:hanging="360"/>
        <w:contextualSpacing/>
        <w:jc w:val="both"/>
        <w:rPr>
          <w:rFonts w:ascii="Arial" w:hAnsi="Arial" w:cs="Arial"/>
          <w:color w:val="auto"/>
          <w:sz w:val="22"/>
        </w:rPr>
      </w:pPr>
      <w:r>
        <w:rPr>
          <w:rFonts w:cs="Arial" w:ascii="Arial" w:hAnsi="Arial"/>
          <w:color w:val="auto"/>
          <w:sz w:val="22"/>
        </w:rPr>
        <w:t xml:space="preserve">étudié le dossier sur pièces pour en comprendre l’objectif, la demande et la problématique, </w:t>
      </w:r>
    </w:p>
    <w:p>
      <w:pPr>
        <w:pStyle w:val="ListParagraph"/>
        <w:ind w:left="722" w:right="51" w:hanging="0"/>
        <w:rPr>
          <w:rFonts w:ascii="Arial" w:hAnsi="Arial" w:cs="Arial"/>
          <w:color w:val="auto"/>
          <w:sz w:val="22"/>
        </w:rPr>
      </w:pPr>
      <w:r>
        <w:rPr>
          <w:rFonts w:cs="Arial" w:ascii="Arial" w:hAnsi="Arial"/>
          <w:color w:val="auto"/>
          <w:sz w:val="22"/>
        </w:rPr>
      </w:r>
    </w:p>
    <w:p>
      <w:pPr>
        <w:pStyle w:val="ListParagraph"/>
        <w:numPr>
          <w:ilvl w:val="0"/>
          <w:numId w:val="24"/>
        </w:numPr>
        <w:spacing w:lineRule="auto" w:line="247" w:before="0" w:after="169"/>
        <w:ind w:left="722" w:right="51" w:hanging="360"/>
        <w:contextualSpacing/>
        <w:jc w:val="both"/>
        <w:rPr>
          <w:rFonts w:ascii="Arial" w:hAnsi="Arial" w:cs="Arial"/>
          <w:color w:val="auto"/>
          <w:sz w:val="22"/>
        </w:rPr>
      </w:pPr>
      <w:r>
        <w:rPr>
          <w:rFonts w:cs="Arial" w:ascii="Arial" w:hAnsi="Arial"/>
          <w:color w:val="auto"/>
          <w:sz w:val="22"/>
        </w:rPr>
        <w:t>rencontré les élus et services de la commune de GONESSE,</w:t>
      </w:r>
    </w:p>
    <w:p>
      <w:pPr>
        <w:pStyle w:val="ListParagraph"/>
        <w:ind w:left="722" w:right="51" w:hanging="0"/>
        <w:rPr>
          <w:rFonts w:ascii="Arial" w:hAnsi="Arial" w:cs="Arial"/>
          <w:color w:val="auto"/>
          <w:sz w:val="22"/>
        </w:rPr>
      </w:pPr>
      <w:r>
        <w:rPr>
          <w:rFonts w:cs="Arial" w:ascii="Arial" w:hAnsi="Arial"/>
          <w:color w:val="auto"/>
          <w:sz w:val="22"/>
        </w:rPr>
        <w:t xml:space="preserve"> </w:t>
      </w:r>
    </w:p>
    <w:p>
      <w:pPr>
        <w:pStyle w:val="ListParagraph"/>
        <w:numPr>
          <w:ilvl w:val="0"/>
          <w:numId w:val="24"/>
        </w:numPr>
        <w:spacing w:lineRule="auto" w:line="247" w:before="0" w:after="169"/>
        <w:ind w:left="722" w:right="51" w:hanging="360"/>
        <w:contextualSpacing/>
        <w:jc w:val="both"/>
        <w:rPr>
          <w:rFonts w:ascii="Arial" w:hAnsi="Arial" w:cs="Arial"/>
          <w:color w:val="auto"/>
          <w:sz w:val="22"/>
        </w:rPr>
      </w:pPr>
      <w:r>
        <w:rPr>
          <w:rFonts w:cs="Arial" w:ascii="Arial" w:hAnsi="Arial"/>
          <w:color w:val="auto"/>
          <w:sz w:val="22"/>
        </w:rPr>
        <w:t>s’être déplacé sur le terrain à plusieurs reprises,</w:t>
      </w:r>
    </w:p>
    <w:p>
      <w:pPr>
        <w:pStyle w:val="ListParagraph"/>
        <w:ind w:left="722" w:right="51" w:hanging="0"/>
        <w:rPr>
          <w:rFonts w:ascii="Arial" w:hAnsi="Arial" w:cs="Arial"/>
          <w:color w:val="auto"/>
          <w:sz w:val="22"/>
        </w:rPr>
      </w:pPr>
      <w:r>
        <w:rPr>
          <w:rFonts w:cs="Arial" w:ascii="Arial" w:hAnsi="Arial"/>
          <w:color w:val="auto"/>
          <w:sz w:val="22"/>
        </w:rPr>
        <w:t xml:space="preserve"> </w:t>
      </w:r>
    </w:p>
    <w:p>
      <w:pPr>
        <w:pStyle w:val="ListParagraph"/>
        <w:numPr>
          <w:ilvl w:val="0"/>
          <w:numId w:val="24"/>
        </w:numPr>
        <w:spacing w:lineRule="auto" w:line="247" w:before="0" w:after="169"/>
        <w:ind w:left="722" w:right="51" w:hanging="360"/>
        <w:contextualSpacing/>
        <w:jc w:val="both"/>
        <w:rPr>
          <w:rFonts w:ascii="Arial" w:hAnsi="Arial" w:cs="Arial"/>
          <w:color w:val="auto"/>
          <w:sz w:val="22"/>
        </w:rPr>
      </w:pPr>
      <w:r>
        <w:rPr>
          <w:rFonts w:cs="Arial" w:ascii="Arial" w:hAnsi="Arial"/>
          <w:color w:val="auto"/>
          <w:sz w:val="22"/>
        </w:rPr>
        <w:t>assuré les permanences prévues, en concertation avec les services de la préfecture, à la mairie de GONESSE,</w:t>
      </w:r>
    </w:p>
    <w:p>
      <w:pPr>
        <w:pStyle w:val="ListParagraph"/>
        <w:ind w:left="722" w:right="51" w:hanging="0"/>
        <w:rPr>
          <w:rFonts w:ascii="Arial" w:hAnsi="Arial" w:cs="Arial"/>
          <w:color w:val="auto"/>
          <w:sz w:val="22"/>
        </w:rPr>
      </w:pPr>
      <w:r>
        <w:rPr>
          <w:rFonts w:cs="Arial" w:ascii="Arial" w:hAnsi="Arial"/>
          <w:color w:val="auto"/>
          <w:sz w:val="22"/>
        </w:rPr>
        <w:t xml:space="preserve"> </w:t>
      </w:r>
    </w:p>
    <w:p>
      <w:pPr>
        <w:pStyle w:val="ListParagraph"/>
        <w:numPr>
          <w:ilvl w:val="0"/>
          <w:numId w:val="24"/>
        </w:numPr>
        <w:spacing w:lineRule="auto" w:line="247" w:before="0" w:after="169"/>
        <w:ind w:left="722" w:right="51" w:hanging="360"/>
        <w:contextualSpacing/>
        <w:jc w:val="both"/>
        <w:rPr>
          <w:rFonts w:ascii="Arial" w:hAnsi="Arial" w:cs="Arial"/>
          <w:color w:val="auto"/>
          <w:sz w:val="22"/>
        </w:rPr>
      </w:pPr>
      <w:r>
        <w:rPr>
          <w:rFonts w:cs="Arial" w:ascii="Arial" w:hAnsi="Arial"/>
          <w:color w:val="auto"/>
          <w:sz w:val="22"/>
        </w:rPr>
        <w:t>conduit l’enquête conformément aux dispositions de l’arrêté préfectoral du 10 janvier 2024,</w:t>
      </w:r>
    </w:p>
    <w:p>
      <w:pPr>
        <w:pStyle w:val="ListParagraph"/>
        <w:ind w:left="722" w:right="51" w:hanging="0"/>
        <w:rPr>
          <w:rFonts w:ascii="Arial" w:hAnsi="Arial" w:cs="Arial"/>
          <w:color w:val="auto"/>
          <w:sz w:val="22"/>
        </w:rPr>
      </w:pPr>
      <w:r>
        <w:rPr>
          <w:rFonts w:cs="Arial" w:ascii="Arial" w:hAnsi="Arial"/>
          <w:color w:val="auto"/>
          <w:sz w:val="22"/>
        </w:rPr>
        <w:t xml:space="preserve"> </w:t>
      </w:r>
    </w:p>
    <w:p>
      <w:pPr>
        <w:pStyle w:val="ListParagraph"/>
        <w:numPr>
          <w:ilvl w:val="0"/>
          <w:numId w:val="24"/>
        </w:numPr>
        <w:spacing w:lineRule="auto" w:line="247" w:before="0" w:after="169"/>
        <w:ind w:left="722" w:right="51" w:hanging="360"/>
        <w:contextualSpacing/>
        <w:jc w:val="both"/>
        <w:rPr>
          <w:rFonts w:ascii="Arial" w:hAnsi="Arial" w:cs="Arial"/>
          <w:color w:val="auto"/>
          <w:sz w:val="22"/>
        </w:rPr>
      </w:pPr>
      <w:r>
        <w:rPr>
          <w:rFonts w:cs="Arial" w:ascii="Arial" w:hAnsi="Arial"/>
          <w:color w:val="auto"/>
          <w:sz w:val="22"/>
        </w:rPr>
        <w:t xml:space="preserve">examiné chacune des observations écrites ou annexées au registre d’enquête, </w:t>
      </w:r>
    </w:p>
    <w:p>
      <w:pPr>
        <w:pStyle w:val="Normal"/>
        <w:ind w:left="0" w:right="51" w:hanging="0"/>
        <w:rPr>
          <w:rFonts w:ascii="Arial" w:hAnsi="Arial" w:cs="Arial"/>
          <w:color w:val="auto"/>
          <w:sz w:val="22"/>
        </w:rPr>
      </w:pPr>
      <w:r>
        <w:rPr>
          <w:rFonts w:cs="Arial" w:ascii="Arial" w:hAnsi="Arial"/>
          <w:color w:val="auto"/>
          <w:sz w:val="22"/>
        </w:rPr>
      </w:r>
    </w:p>
    <w:p>
      <w:pPr>
        <w:pStyle w:val="Titre1"/>
        <w:spacing w:before="0" w:after="0"/>
        <w:ind w:left="10" w:right="47" w:hanging="10"/>
        <w:jc w:val="left"/>
        <w:rPr>
          <w:rFonts w:ascii="Arial" w:hAnsi="Arial" w:cs="Arial"/>
          <w:color w:val="auto"/>
          <w:sz w:val="22"/>
        </w:rPr>
      </w:pPr>
      <w:r>
        <w:rPr>
          <w:rFonts w:cs="Arial" w:ascii="Arial" w:hAnsi="Arial"/>
          <w:b/>
          <w:bCs/>
          <w:color w:val="auto"/>
          <w:sz w:val="22"/>
        </w:rPr>
        <w:t>Le commissaire enquêteur, considérant :</w:t>
      </w:r>
      <w:r>
        <w:rPr>
          <w:rFonts w:cs="Arial" w:ascii="Arial" w:hAnsi="Arial"/>
          <w:color w:val="auto"/>
          <w:sz w:val="22"/>
        </w:rPr>
        <w:t xml:space="preserve"> </w:t>
      </w:r>
    </w:p>
    <w:p>
      <w:pPr>
        <w:pStyle w:val="Normal"/>
        <w:spacing w:before="0" w:after="0"/>
        <w:rPr/>
      </w:pPr>
      <w:r>
        <w:rPr/>
      </w:r>
    </w:p>
    <w:p>
      <w:pPr>
        <w:pStyle w:val="Titre2"/>
        <w:ind w:left="12" w:right="936" w:hanging="10"/>
        <w:rPr>
          <w:rFonts w:ascii="Arial" w:hAnsi="Arial" w:cs="Arial"/>
          <w:color w:val="auto"/>
          <w:sz w:val="22"/>
        </w:rPr>
      </w:pPr>
      <w:r>
        <w:rPr>
          <w:rFonts w:cs="Arial" w:ascii="Arial" w:hAnsi="Arial"/>
          <w:color w:val="auto"/>
          <w:sz w:val="22"/>
        </w:rPr>
        <w:t>Sur le dossier de l’enquête préalable à la DUP</w:t>
      </w:r>
      <w:r>
        <w:rPr>
          <w:rFonts w:cs="Arial" w:ascii="Arial" w:hAnsi="Arial"/>
          <w:color w:val="auto"/>
          <w:sz w:val="22"/>
          <w:u w:val="none"/>
        </w:rPr>
        <w:t xml:space="preserve"> </w:t>
      </w:r>
    </w:p>
    <w:p>
      <w:pPr>
        <w:pStyle w:val="ListParagraph"/>
        <w:numPr>
          <w:ilvl w:val="0"/>
          <w:numId w:val="25"/>
        </w:numPr>
        <w:spacing w:lineRule="auto" w:line="247" w:before="0" w:after="169"/>
        <w:ind w:left="722" w:right="51" w:hanging="360"/>
        <w:contextualSpacing/>
        <w:jc w:val="both"/>
        <w:rPr>
          <w:rFonts w:ascii="Arial" w:hAnsi="Arial" w:cs="Arial"/>
          <w:color w:val="auto"/>
          <w:sz w:val="22"/>
        </w:rPr>
      </w:pPr>
      <w:r>
        <w:rPr>
          <w:rFonts w:cs="Arial" w:ascii="Arial" w:hAnsi="Arial"/>
          <w:color w:val="auto"/>
          <w:sz w:val="22"/>
        </w:rPr>
        <w:t>que le dossier comportait toutes les pièces règlementaires au titre du Code de l’Expropriation pour cause d’utilité publique,</w:t>
      </w:r>
    </w:p>
    <w:p>
      <w:pPr>
        <w:pStyle w:val="ListParagraph"/>
        <w:ind w:left="722" w:right="51" w:hanging="0"/>
        <w:rPr>
          <w:rFonts w:ascii="Arial" w:hAnsi="Arial" w:cs="Arial"/>
          <w:color w:val="auto"/>
          <w:sz w:val="22"/>
        </w:rPr>
      </w:pPr>
      <w:r>
        <w:rPr>
          <w:rFonts w:cs="Arial" w:ascii="Arial" w:hAnsi="Arial"/>
          <w:color w:val="auto"/>
          <w:sz w:val="22"/>
        </w:rPr>
        <w:t xml:space="preserve"> </w:t>
      </w:r>
    </w:p>
    <w:p>
      <w:pPr>
        <w:pStyle w:val="ListParagraph"/>
        <w:numPr>
          <w:ilvl w:val="0"/>
          <w:numId w:val="25"/>
        </w:numPr>
        <w:spacing w:lineRule="auto" w:line="247" w:before="0" w:after="169"/>
        <w:ind w:left="722" w:right="51" w:hanging="360"/>
        <w:contextualSpacing/>
        <w:jc w:val="both"/>
        <w:rPr>
          <w:rFonts w:ascii="Arial" w:hAnsi="Arial" w:cs="Arial"/>
          <w:color w:val="auto"/>
          <w:sz w:val="22"/>
        </w:rPr>
      </w:pPr>
      <w:r>
        <w:rPr>
          <w:rFonts w:cs="Arial" w:ascii="Arial" w:hAnsi="Arial"/>
          <w:color w:val="auto"/>
          <w:sz w:val="22"/>
        </w:rPr>
        <w:t>que le dossier a été jugé « recevable » par les services de l’Etat puisque mis à l’enquête publique,</w:t>
      </w:r>
    </w:p>
    <w:p>
      <w:pPr>
        <w:pStyle w:val="ListParagraph"/>
        <w:ind w:left="722" w:right="51" w:hanging="0"/>
        <w:rPr>
          <w:rFonts w:ascii="Arial" w:hAnsi="Arial" w:cs="Arial"/>
          <w:color w:val="auto"/>
          <w:sz w:val="22"/>
        </w:rPr>
      </w:pPr>
      <w:r>
        <w:rPr>
          <w:rFonts w:cs="Arial" w:ascii="Arial" w:hAnsi="Arial"/>
          <w:color w:val="auto"/>
          <w:sz w:val="22"/>
        </w:rPr>
        <w:t xml:space="preserve"> </w:t>
      </w:r>
    </w:p>
    <w:p>
      <w:pPr>
        <w:pStyle w:val="ListParagraph"/>
        <w:numPr>
          <w:ilvl w:val="0"/>
          <w:numId w:val="25"/>
        </w:numPr>
        <w:spacing w:lineRule="auto" w:line="247" w:before="0" w:after="169"/>
        <w:ind w:left="722" w:right="51" w:hanging="360"/>
        <w:contextualSpacing/>
        <w:jc w:val="both"/>
        <w:rPr>
          <w:rFonts w:ascii="Arial" w:hAnsi="Arial" w:cs="Arial"/>
          <w:color w:val="auto"/>
          <w:sz w:val="22"/>
        </w:rPr>
      </w:pPr>
      <w:r>
        <w:rPr>
          <w:rFonts w:cs="Arial" w:ascii="Arial" w:hAnsi="Arial"/>
          <w:color w:val="auto"/>
          <w:sz w:val="22"/>
        </w:rPr>
        <w:t xml:space="preserve">que le dit dossier a été tenu à la disposition du public en mairie de GONESSE durant toute la durée de l’enquête, du 29 janvier 2024 au 12 février 2024, soit 15 jours consécutifs </w:t>
      </w:r>
    </w:p>
    <w:p>
      <w:pPr>
        <w:pStyle w:val="Normal"/>
        <w:spacing w:lineRule="auto" w:line="247" w:before="0" w:after="0"/>
        <w:ind w:left="12" w:right="48" w:hanging="10"/>
        <w:rPr>
          <w:rFonts w:ascii="Arial" w:hAnsi="Arial" w:cs="Arial"/>
          <w:b/>
          <w:b/>
          <w:bCs/>
          <w:color w:val="auto"/>
          <w:sz w:val="22"/>
        </w:rPr>
      </w:pPr>
      <w:r>
        <w:rPr>
          <w:rFonts w:cs="Arial" w:ascii="Arial" w:hAnsi="Arial"/>
          <w:b/>
          <w:bCs/>
          <w:color w:val="auto"/>
          <w:sz w:val="22"/>
        </w:rPr>
        <w:t xml:space="preserve">En conclusion, le dossier a permis au public d’appréhender le projet et d’en comprendre l’objet et la problématique. </w:t>
      </w:r>
    </w:p>
    <w:p>
      <w:pPr>
        <w:pStyle w:val="Normal"/>
        <w:spacing w:lineRule="auto" w:line="259" w:before="0" w:after="156"/>
        <w:ind w:left="0" w:hanging="0"/>
        <w:rPr>
          <w:rFonts w:ascii="Arial" w:hAnsi="Arial" w:cs="Arial"/>
          <w:color w:val="1F3864" w:themeColor="accent1" w:themeShade="80"/>
          <w:sz w:val="22"/>
        </w:rPr>
      </w:pPr>
      <w:r>
        <w:rPr>
          <w:rFonts w:cs="Arial" w:ascii="Arial" w:hAnsi="Arial"/>
          <w:color w:val="1F3864" w:themeColor="accent1" w:themeShade="80"/>
          <w:sz w:val="22"/>
        </w:rPr>
      </w:r>
    </w:p>
    <w:p>
      <w:pPr>
        <w:pStyle w:val="Normal"/>
        <w:spacing w:lineRule="auto" w:line="259" w:before="0" w:after="156"/>
        <w:ind w:left="0" w:hanging="0"/>
        <w:rPr>
          <w:rFonts w:ascii="Arial" w:hAnsi="Arial" w:cs="Arial"/>
          <w:color w:val="1F3864" w:themeColor="accent1" w:themeShade="80"/>
          <w:sz w:val="22"/>
        </w:rPr>
      </w:pPr>
      <w:r>
        <w:rPr>
          <w:rFonts w:cs="Arial" w:ascii="Arial" w:hAnsi="Arial"/>
          <w:color w:val="1F3864" w:themeColor="accent1" w:themeShade="80"/>
          <w:sz w:val="22"/>
        </w:rPr>
      </w:r>
    </w:p>
    <w:p>
      <w:pPr>
        <w:pStyle w:val="Titre2"/>
        <w:ind w:left="12" w:right="936" w:hanging="10"/>
        <w:rPr>
          <w:rFonts w:ascii="Arial" w:hAnsi="Arial" w:cs="Arial"/>
          <w:color w:val="auto"/>
          <w:sz w:val="22"/>
        </w:rPr>
      </w:pPr>
      <w:r>
        <w:rPr>
          <w:rFonts w:cs="Arial" w:ascii="Arial" w:hAnsi="Arial"/>
          <w:color w:val="auto"/>
          <w:sz w:val="22"/>
        </w:rPr>
        <w:t>Sur l’information du public</w:t>
      </w:r>
      <w:r>
        <w:rPr>
          <w:rFonts w:cs="Arial" w:ascii="Arial" w:hAnsi="Arial"/>
          <w:color w:val="auto"/>
          <w:sz w:val="22"/>
          <w:u w:val="none"/>
        </w:rPr>
        <w:t xml:space="preserve"> </w:t>
      </w:r>
    </w:p>
    <w:p>
      <w:pPr>
        <w:pStyle w:val="ListParagraph"/>
        <w:numPr>
          <w:ilvl w:val="0"/>
          <w:numId w:val="26"/>
        </w:numPr>
        <w:spacing w:lineRule="auto" w:line="247" w:before="0" w:after="169"/>
        <w:ind w:left="372" w:right="51" w:hanging="360"/>
        <w:contextualSpacing/>
        <w:jc w:val="both"/>
        <w:rPr>
          <w:rFonts w:ascii="Arial" w:hAnsi="Arial" w:cs="Arial"/>
          <w:color w:val="auto"/>
          <w:sz w:val="22"/>
        </w:rPr>
      </w:pPr>
      <w:r>
        <w:rPr>
          <w:rFonts w:cs="Arial" w:ascii="Arial" w:hAnsi="Arial"/>
          <w:color w:val="auto"/>
          <w:sz w:val="22"/>
        </w:rPr>
        <w:t xml:space="preserve">que les insertions dans la presse ont bien eu lieu au moins 8 jours avant le début de l’enquête dans les journaux suivants : </w:t>
      </w:r>
    </w:p>
    <w:p>
      <w:pPr>
        <w:pStyle w:val="ListParagraph"/>
        <w:ind w:left="372" w:right="51" w:hanging="0"/>
        <w:rPr>
          <w:rFonts w:ascii="Arial" w:hAnsi="Arial" w:cs="Arial"/>
          <w:color w:val="auto"/>
          <w:sz w:val="22"/>
        </w:rPr>
      </w:pPr>
      <w:r>
        <w:rPr>
          <w:rFonts w:cs="Arial" w:ascii="Arial" w:hAnsi="Arial"/>
          <w:color w:val="auto"/>
          <w:sz w:val="22"/>
        </w:rPr>
      </w:r>
    </w:p>
    <w:p>
      <w:pPr>
        <w:pStyle w:val="ListParagraph"/>
        <w:numPr>
          <w:ilvl w:val="1"/>
          <w:numId w:val="26"/>
        </w:numPr>
        <w:spacing w:lineRule="auto" w:line="247" w:before="0" w:after="169"/>
        <w:ind w:left="1092" w:right="51" w:hanging="360"/>
        <w:contextualSpacing/>
        <w:jc w:val="both"/>
        <w:rPr>
          <w:rFonts w:ascii="Arial" w:hAnsi="Arial" w:cs="Arial"/>
          <w:color w:val="auto"/>
          <w:sz w:val="22"/>
        </w:rPr>
      </w:pPr>
      <w:r>
        <w:rPr>
          <w:rFonts w:cs="Arial" w:ascii="Arial" w:hAnsi="Arial"/>
          <w:color w:val="auto"/>
          <w:sz w:val="22"/>
        </w:rPr>
        <w:t>« Le Grand Parisien »</w:t>
      </w:r>
    </w:p>
    <w:p>
      <w:pPr>
        <w:pStyle w:val="ListParagraph"/>
        <w:numPr>
          <w:ilvl w:val="1"/>
          <w:numId w:val="26"/>
        </w:numPr>
        <w:spacing w:lineRule="auto" w:line="247" w:before="0" w:after="169"/>
        <w:ind w:left="1092" w:right="51" w:hanging="360"/>
        <w:contextualSpacing/>
        <w:jc w:val="both"/>
        <w:rPr>
          <w:rFonts w:ascii="Arial" w:hAnsi="Arial" w:cs="Arial"/>
          <w:color w:val="auto"/>
          <w:sz w:val="22"/>
        </w:rPr>
      </w:pPr>
      <w:r>
        <w:rPr>
          <w:rFonts w:cs="Arial" w:ascii="Arial" w:hAnsi="Arial"/>
          <w:color w:val="auto"/>
          <w:sz w:val="22"/>
        </w:rPr>
        <w:t>« La Gazette du Vald’Oise »</w:t>
      </w:r>
    </w:p>
    <w:p>
      <w:pPr>
        <w:pStyle w:val="ListParagraph"/>
        <w:ind w:left="1092" w:right="51" w:hanging="0"/>
        <w:rPr>
          <w:rFonts w:ascii="Arial" w:hAnsi="Arial" w:cs="Arial"/>
          <w:color w:val="auto"/>
          <w:sz w:val="22"/>
        </w:rPr>
      </w:pPr>
      <w:r>
        <w:rPr>
          <w:rFonts w:cs="Arial" w:ascii="Arial" w:hAnsi="Arial"/>
          <w:color w:val="auto"/>
          <w:sz w:val="22"/>
        </w:rPr>
      </w:r>
    </w:p>
    <w:p>
      <w:pPr>
        <w:pStyle w:val="ListParagraph"/>
        <w:numPr>
          <w:ilvl w:val="0"/>
          <w:numId w:val="26"/>
        </w:numPr>
        <w:spacing w:lineRule="auto" w:line="247" w:before="0" w:after="169"/>
        <w:ind w:left="372" w:right="51" w:hanging="360"/>
        <w:contextualSpacing/>
        <w:jc w:val="both"/>
        <w:rPr>
          <w:rFonts w:ascii="Arial" w:hAnsi="Arial" w:cs="Arial"/>
          <w:color w:val="auto"/>
          <w:sz w:val="22"/>
        </w:rPr>
      </w:pPr>
      <w:r>
        <w:rPr>
          <w:rFonts w:cs="Arial" w:ascii="Arial" w:hAnsi="Arial"/>
          <w:color w:val="auto"/>
          <w:sz w:val="22"/>
        </w:rPr>
        <w:t xml:space="preserve">que l’affichage règlementaire a bien eu lieu en Mairie de GONESSE et sur les panneaux d’affichage administratif prévus à cet effet et qu’il a été constaté par les services de la Police Municipale, </w:t>
      </w:r>
    </w:p>
    <w:p>
      <w:pPr>
        <w:pStyle w:val="ListParagraph"/>
        <w:ind w:left="372" w:right="51" w:hanging="0"/>
        <w:rPr>
          <w:rFonts w:ascii="Arial" w:hAnsi="Arial" w:cs="Arial"/>
          <w:color w:val="auto"/>
          <w:sz w:val="22"/>
        </w:rPr>
      </w:pPr>
      <w:r>
        <w:rPr>
          <w:rFonts w:cs="Arial" w:ascii="Arial" w:hAnsi="Arial"/>
          <w:color w:val="auto"/>
          <w:sz w:val="22"/>
        </w:rPr>
      </w:r>
    </w:p>
    <w:p>
      <w:pPr>
        <w:pStyle w:val="ListParagraph"/>
        <w:numPr>
          <w:ilvl w:val="0"/>
          <w:numId w:val="26"/>
        </w:numPr>
        <w:spacing w:lineRule="auto" w:line="247" w:before="0" w:after="169"/>
        <w:ind w:left="372" w:right="51" w:hanging="360"/>
        <w:contextualSpacing/>
        <w:jc w:val="both"/>
        <w:rPr>
          <w:rFonts w:ascii="Arial" w:hAnsi="Arial" w:cs="Arial"/>
          <w:color w:val="auto"/>
          <w:sz w:val="22"/>
        </w:rPr>
      </w:pPr>
      <w:r>
        <w:rPr>
          <w:rFonts w:cs="Arial" w:ascii="Arial" w:hAnsi="Arial"/>
          <w:color w:val="auto"/>
          <w:sz w:val="22"/>
        </w:rPr>
        <w:t>que la ville de GONESSE a publié sur son site l’annonce de l’enquête avec un lien permettant de consulter les dossiers,</w:t>
      </w:r>
    </w:p>
    <w:p>
      <w:pPr>
        <w:pStyle w:val="Normal"/>
        <w:spacing w:lineRule="auto" w:line="259" w:before="0" w:after="0"/>
        <w:ind w:left="0" w:hanging="0"/>
        <w:rPr>
          <w:rFonts w:ascii="Arial" w:hAnsi="Arial" w:cs="Arial"/>
          <w:color w:val="auto"/>
          <w:sz w:val="22"/>
        </w:rPr>
      </w:pPr>
      <w:r>
        <w:rPr>
          <w:rFonts w:cs="Arial" w:ascii="Arial" w:hAnsi="Arial"/>
          <w:color w:val="auto"/>
          <w:sz w:val="22"/>
        </w:rPr>
      </w:r>
    </w:p>
    <w:p>
      <w:pPr>
        <w:pStyle w:val="ListParagraph"/>
        <w:numPr>
          <w:ilvl w:val="0"/>
          <w:numId w:val="26"/>
        </w:numPr>
        <w:spacing w:lineRule="auto" w:line="247" w:before="0" w:after="10"/>
        <w:ind w:left="372" w:right="51" w:hanging="360"/>
        <w:contextualSpacing/>
        <w:jc w:val="both"/>
        <w:rPr>
          <w:rFonts w:ascii="Arial" w:hAnsi="Arial" w:cs="Arial"/>
          <w:color w:val="auto"/>
          <w:sz w:val="22"/>
        </w:rPr>
      </w:pPr>
      <w:r>
        <w:rPr>
          <w:rFonts w:cs="Arial" w:ascii="Arial" w:hAnsi="Arial"/>
          <w:color w:val="auto"/>
          <w:sz w:val="22"/>
        </w:rPr>
        <w:t xml:space="preserve">que le Préfet du Val d’Oise a également publié l’avis d’enquête sur le site de la préfecture, </w:t>
      </w:r>
    </w:p>
    <w:p>
      <w:pPr>
        <w:pStyle w:val="Normal"/>
        <w:spacing w:lineRule="auto" w:line="259" w:before="0" w:after="0"/>
        <w:ind w:left="17" w:firstLine="60"/>
        <w:rPr>
          <w:rFonts w:ascii="Arial" w:hAnsi="Arial" w:cs="Arial"/>
          <w:color w:val="auto"/>
          <w:sz w:val="22"/>
        </w:rPr>
      </w:pPr>
      <w:r>
        <w:rPr>
          <w:rFonts w:cs="Arial" w:ascii="Arial" w:hAnsi="Arial"/>
          <w:color w:val="auto"/>
          <w:sz w:val="22"/>
        </w:rPr>
      </w:r>
    </w:p>
    <w:p>
      <w:pPr>
        <w:pStyle w:val="ListParagraph"/>
        <w:numPr>
          <w:ilvl w:val="0"/>
          <w:numId w:val="26"/>
        </w:numPr>
        <w:spacing w:lineRule="auto" w:line="247" w:before="0" w:after="0"/>
        <w:ind w:left="372" w:right="51" w:hanging="360"/>
        <w:contextualSpacing/>
        <w:jc w:val="both"/>
        <w:rPr>
          <w:rFonts w:ascii="Arial" w:hAnsi="Arial" w:cs="Arial"/>
          <w:color w:val="auto"/>
          <w:sz w:val="22"/>
        </w:rPr>
      </w:pPr>
      <w:r>
        <w:rPr>
          <w:rFonts w:cs="Arial" w:ascii="Arial" w:hAnsi="Arial"/>
          <w:color w:val="auto"/>
          <w:sz w:val="22"/>
        </w:rPr>
        <w:t>que cette information a été suffisamment réalisée avant et pendant toute la durée de l’enquête,</w:t>
      </w:r>
    </w:p>
    <w:p>
      <w:pPr>
        <w:pStyle w:val="Normal"/>
        <w:spacing w:lineRule="auto" w:line="259" w:before="0" w:after="0"/>
        <w:ind w:left="17" w:hanging="0"/>
        <w:rPr>
          <w:rFonts w:ascii="Arial" w:hAnsi="Arial" w:cs="Arial"/>
          <w:color w:val="1F3864" w:themeColor="accent1" w:themeShade="80"/>
          <w:sz w:val="22"/>
        </w:rPr>
      </w:pPr>
      <w:r>
        <w:rPr>
          <w:rFonts w:cs="Arial" w:ascii="Arial" w:hAnsi="Arial"/>
          <w:color w:val="1F3864" w:themeColor="accent1" w:themeShade="80"/>
          <w:sz w:val="22"/>
        </w:rPr>
      </w:r>
    </w:p>
    <w:p>
      <w:pPr>
        <w:pStyle w:val="Normal"/>
        <w:spacing w:lineRule="auto" w:line="268" w:before="0" w:after="0"/>
        <w:ind w:left="12" w:hanging="10"/>
        <w:rPr>
          <w:rFonts w:ascii="Arial" w:hAnsi="Arial" w:cs="Arial"/>
          <w:b/>
          <w:b/>
          <w:bCs/>
          <w:color w:val="auto"/>
          <w:sz w:val="22"/>
        </w:rPr>
      </w:pPr>
      <w:r>
        <w:rPr>
          <w:rFonts w:cs="Arial" w:ascii="Arial" w:hAnsi="Arial"/>
          <w:b/>
          <w:bCs/>
          <w:color w:val="auto"/>
          <w:sz w:val="22"/>
        </w:rPr>
        <w:t xml:space="preserve">Conclusions : </w:t>
      </w:r>
    </w:p>
    <w:p>
      <w:pPr>
        <w:pStyle w:val="ListParagraph"/>
        <w:numPr>
          <w:ilvl w:val="0"/>
          <w:numId w:val="27"/>
        </w:numPr>
        <w:spacing w:lineRule="auto" w:line="247" w:before="0" w:after="0"/>
        <w:ind w:left="720" w:right="48" w:hanging="360"/>
        <w:contextualSpacing/>
        <w:jc w:val="both"/>
        <w:rPr>
          <w:rFonts w:ascii="Arial" w:hAnsi="Arial" w:cs="Arial"/>
          <w:b/>
          <w:b/>
          <w:bCs/>
          <w:color w:val="auto"/>
          <w:sz w:val="22"/>
        </w:rPr>
      </w:pPr>
      <w:r>
        <w:rPr>
          <w:rFonts w:cs="Arial" w:ascii="Arial" w:hAnsi="Arial"/>
          <w:b/>
          <w:bCs/>
          <w:color w:val="auto"/>
          <w:sz w:val="22"/>
        </w:rPr>
        <w:t xml:space="preserve">Ainsi, toutes les mesures ont été prises, dans le cadre règlementaire, pour informer convenablement le public et pour lui permettre de prendre connaissance du dossier. </w:t>
      </w:r>
    </w:p>
    <w:p>
      <w:pPr>
        <w:pStyle w:val="Normal"/>
        <w:spacing w:lineRule="auto" w:line="259" w:before="0" w:after="0"/>
        <w:ind w:left="17" w:firstLine="60"/>
        <w:rPr>
          <w:rFonts w:ascii="Arial" w:hAnsi="Arial" w:cs="Arial"/>
          <w:b/>
          <w:b/>
          <w:bCs/>
          <w:color w:val="auto"/>
          <w:sz w:val="22"/>
        </w:rPr>
      </w:pPr>
      <w:r>
        <w:rPr>
          <w:rFonts w:cs="Arial" w:ascii="Arial" w:hAnsi="Arial"/>
          <w:b/>
          <w:bCs/>
          <w:color w:val="auto"/>
          <w:sz w:val="22"/>
        </w:rPr>
      </w:r>
    </w:p>
    <w:p>
      <w:pPr>
        <w:pStyle w:val="ListParagraph"/>
        <w:numPr>
          <w:ilvl w:val="0"/>
          <w:numId w:val="27"/>
        </w:numPr>
        <w:spacing w:lineRule="auto" w:line="247" w:before="0" w:after="0"/>
        <w:ind w:left="720" w:right="48" w:hanging="360"/>
        <w:contextualSpacing/>
        <w:jc w:val="both"/>
        <w:rPr>
          <w:rFonts w:ascii="Arial" w:hAnsi="Arial" w:cs="Arial"/>
          <w:b/>
          <w:b/>
          <w:bCs/>
          <w:color w:val="auto"/>
          <w:sz w:val="22"/>
        </w:rPr>
      </w:pPr>
      <w:r>
        <w:rPr>
          <w:rFonts w:cs="Arial" w:ascii="Arial" w:hAnsi="Arial"/>
          <w:b/>
          <w:bCs/>
          <w:color w:val="auto"/>
          <w:sz w:val="22"/>
        </w:rPr>
        <w:t xml:space="preserve">Un des objectifs essentiels de l’enquête publique a donc été satisfait en offrant par la publicité effectuée et par l’information apportée, la possibilité d’une expression citoyenne sur ce projet. </w:t>
      </w:r>
    </w:p>
    <w:p>
      <w:pPr>
        <w:pStyle w:val="Normal"/>
        <w:spacing w:lineRule="auto" w:line="259" w:before="0" w:after="158"/>
        <w:ind w:left="17" w:hanging="0"/>
        <w:rPr>
          <w:rFonts w:ascii="Arial" w:hAnsi="Arial" w:cs="Arial"/>
          <w:color w:val="auto"/>
          <w:sz w:val="22"/>
        </w:rPr>
      </w:pPr>
      <w:r>
        <w:rPr>
          <w:rFonts w:cs="Arial" w:ascii="Arial" w:hAnsi="Arial"/>
          <w:color w:val="auto"/>
          <w:sz w:val="22"/>
        </w:rPr>
        <w:t xml:space="preserve"> </w:t>
      </w:r>
    </w:p>
    <w:p>
      <w:pPr>
        <w:pStyle w:val="Normal"/>
        <w:spacing w:lineRule="auto" w:line="259" w:before="0" w:after="158"/>
        <w:ind w:left="17" w:hanging="0"/>
        <w:rPr>
          <w:rFonts w:ascii="Arial" w:hAnsi="Arial" w:cs="Arial"/>
          <w:color w:val="auto"/>
          <w:sz w:val="22"/>
        </w:rPr>
      </w:pPr>
      <w:r>
        <w:rPr>
          <w:rFonts w:cs="Arial" w:ascii="Arial" w:hAnsi="Arial"/>
          <w:color w:val="auto"/>
          <w:sz w:val="22"/>
        </w:rPr>
      </w:r>
    </w:p>
    <w:p>
      <w:pPr>
        <w:pStyle w:val="Titre2"/>
        <w:ind w:left="12" w:right="936" w:hanging="10"/>
        <w:jc w:val="both"/>
        <w:rPr>
          <w:rFonts w:ascii="Arial" w:hAnsi="Arial" w:cs="Arial"/>
          <w:color w:val="auto"/>
          <w:sz w:val="22"/>
        </w:rPr>
      </w:pPr>
      <w:r>
        <w:rPr>
          <w:rFonts w:cs="Arial" w:ascii="Arial" w:hAnsi="Arial"/>
          <w:color w:val="auto"/>
          <w:sz w:val="22"/>
        </w:rPr>
        <w:t>Sur la participation du public</w:t>
      </w:r>
      <w:r>
        <w:rPr>
          <w:rFonts w:cs="Arial" w:ascii="Arial" w:hAnsi="Arial"/>
          <w:color w:val="auto"/>
          <w:sz w:val="22"/>
          <w:u w:val="none"/>
        </w:rPr>
        <w:t xml:space="preserve"> </w:t>
      </w:r>
    </w:p>
    <w:p>
      <w:pPr>
        <w:pStyle w:val="ListParagraph"/>
        <w:numPr>
          <w:ilvl w:val="0"/>
          <w:numId w:val="28"/>
        </w:numPr>
        <w:spacing w:lineRule="auto" w:line="247" w:before="0" w:after="169"/>
        <w:ind w:left="372" w:right="51" w:hanging="360"/>
        <w:contextualSpacing/>
        <w:jc w:val="both"/>
        <w:rPr>
          <w:rFonts w:ascii="Arial" w:hAnsi="Arial" w:cs="Arial"/>
          <w:color w:val="auto"/>
          <w:sz w:val="22"/>
        </w:rPr>
      </w:pPr>
      <w:r>
        <w:rPr>
          <w:rFonts w:cs="Arial" w:ascii="Arial" w:hAnsi="Arial"/>
          <w:color w:val="auto"/>
          <w:sz w:val="22"/>
        </w:rPr>
        <w:t xml:space="preserve">que les prescriptions de l’arrêté préfectoral du 10 janvier 2024  ont bien été respectées : </w:t>
      </w:r>
    </w:p>
    <w:p>
      <w:pPr>
        <w:pStyle w:val="ListParagraph"/>
        <w:ind w:left="720" w:right="51" w:hanging="0"/>
        <w:rPr>
          <w:rFonts w:ascii="Arial" w:hAnsi="Arial" w:cs="Arial"/>
          <w:color w:val="auto"/>
          <w:sz w:val="22"/>
        </w:rPr>
      </w:pPr>
      <w:r>
        <w:rPr>
          <w:rFonts w:cs="Arial" w:ascii="Arial" w:hAnsi="Arial"/>
          <w:color w:val="auto"/>
          <w:sz w:val="22"/>
        </w:rPr>
      </w:r>
    </w:p>
    <w:p>
      <w:pPr>
        <w:pStyle w:val="ListParagraph"/>
        <w:numPr>
          <w:ilvl w:val="0"/>
          <w:numId w:val="29"/>
        </w:numPr>
        <w:spacing w:lineRule="auto" w:line="247" w:before="0" w:after="169"/>
        <w:ind w:left="732" w:right="51" w:hanging="360"/>
        <w:contextualSpacing/>
        <w:jc w:val="both"/>
        <w:rPr>
          <w:rFonts w:ascii="Arial" w:hAnsi="Arial" w:cs="Arial"/>
          <w:color w:val="auto"/>
          <w:sz w:val="22"/>
        </w:rPr>
      </w:pPr>
      <w:r>
        <w:rPr>
          <w:rFonts w:cs="Arial" w:ascii="Arial" w:hAnsi="Arial"/>
          <w:color w:val="auto"/>
          <w:sz w:val="22"/>
        </w:rPr>
        <w:t>possibilité de formuler ses observations directement sur le registre d’enquête publique conjointe ouvert à cet effet en mairie de GONESSE,</w:t>
      </w:r>
    </w:p>
    <w:p>
      <w:pPr>
        <w:pStyle w:val="ListParagraph"/>
        <w:ind w:left="1068" w:right="51" w:hanging="0"/>
        <w:rPr>
          <w:rFonts w:ascii="Arial" w:hAnsi="Arial" w:cs="Arial"/>
          <w:color w:val="auto"/>
          <w:sz w:val="22"/>
        </w:rPr>
      </w:pPr>
      <w:r>
        <w:rPr>
          <w:rFonts w:cs="Arial" w:ascii="Arial" w:hAnsi="Arial"/>
          <w:color w:val="auto"/>
          <w:sz w:val="22"/>
        </w:rPr>
      </w:r>
    </w:p>
    <w:p>
      <w:pPr>
        <w:pStyle w:val="ListParagraph"/>
        <w:numPr>
          <w:ilvl w:val="0"/>
          <w:numId w:val="29"/>
        </w:numPr>
        <w:spacing w:lineRule="auto" w:line="247" w:before="0" w:after="0"/>
        <w:ind w:left="732" w:right="51" w:hanging="360"/>
        <w:contextualSpacing/>
        <w:jc w:val="both"/>
        <w:rPr>
          <w:rFonts w:ascii="Arial" w:hAnsi="Arial" w:cs="Arial"/>
          <w:color w:val="auto"/>
          <w:sz w:val="22"/>
        </w:rPr>
      </w:pPr>
      <w:r>
        <w:rPr>
          <w:rFonts w:cs="Arial" w:ascii="Arial" w:hAnsi="Arial"/>
          <w:color w:val="auto"/>
          <w:sz w:val="22"/>
        </w:rPr>
        <w:t>possibilité d’adresser les observations sur l’utilité publique par correspondance au commissaire-enquêteur domicilié pour la circonstance en mairie de GONESSE, afin qu’elles soient annexées au registre</w:t>
      </w:r>
    </w:p>
    <w:p>
      <w:pPr>
        <w:pStyle w:val="ListParagraph"/>
        <w:spacing w:before="0" w:after="0"/>
        <w:ind w:left="1068" w:right="51" w:hanging="0"/>
        <w:contextualSpacing/>
        <w:rPr>
          <w:rFonts w:ascii="Arial" w:hAnsi="Arial" w:cs="Arial"/>
          <w:color w:val="auto"/>
          <w:sz w:val="22"/>
        </w:rPr>
      </w:pPr>
      <w:r>
        <w:rPr>
          <w:rFonts w:cs="Arial" w:ascii="Arial" w:hAnsi="Arial"/>
          <w:color w:val="auto"/>
          <w:sz w:val="22"/>
        </w:rPr>
        <w:t xml:space="preserve"> </w:t>
      </w:r>
    </w:p>
    <w:p>
      <w:pPr>
        <w:pStyle w:val="ListParagraph"/>
        <w:numPr>
          <w:ilvl w:val="0"/>
          <w:numId w:val="29"/>
        </w:numPr>
        <w:spacing w:lineRule="auto" w:line="247" w:before="0" w:after="169"/>
        <w:ind w:left="732" w:right="51" w:hanging="360"/>
        <w:contextualSpacing/>
        <w:jc w:val="both"/>
        <w:rPr>
          <w:rFonts w:ascii="Arial" w:hAnsi="Arial" w:cs="Arial"/>
          <w:color w:val="auto"/>
          <w:sz w:val="22"/>
        </w:rPr>
      </w:pPr>
      <w:r>
        <w:rPr>
          <w:rFonts w:cs="Arial" w:ascii="Arial" w:hAnsi="Arial"/>
          <w:color w:val="auto"/>
          <w:sz w:val="22"/>
        </w:rPr>
        <w:t xml:space="preserve">les observations écrites ou orales pouvant également être reçues par le commissaire-enquêteur lors des permanences fixées à l’article 8 de l’arrêté préfectoral susvisé </w:t>
      </w:r>
    </w:p>
    <w:p>
      <w:pPr>
        <w:pStyle w:val="Normal"/>
        <w:spacing w:lineRule="auto" w:line="247"/>
        <w:ind w:left="12" w:right="48" w:hanging="10"/>
        <w:rPr>
          <w:rFonts w:ascii="Arial" w:hAnsi="Arial" w:cs="Arial"/>
          <w:b/>
          <w:b/>
          <w:bCs/>
          <w:color w:val="auto"/>
          <w:sz w:val="22"/>
        </w:rPr>
      </w:pPr>
      <w:r>
        <w:rPr>
          <w:rFonts w:cs="Arial" w:ascii="Arial" w:hAnsi="Arial"/>
          <w:b/>
          <w:bCs/>
          <w:color w:val="auto"/>
          <w:sz w:val="22"/>
        </w:rPr>
        <w:t xml:space="preserve">En conclusion, toutes les mesures règlementaires ont bien été prises afin de faciliter la participation du public. </w:t>
      </w:r>
    </w:p>
    <w:p>
      <w:pPr>
        <w:pStyle w:val="Normal"/>
        <w:spacing w:lineRule="auto" w:line="247"/>
        <w:ind w:left="12" w:right="48" w:hanging="10"/>
        <w:rPr>
          <w:rFonts w:ascii="Arial" w:hAnsi="Arial" w:cs="Arial"/>
          <w:color w:val="4472C4" w:themeColor="accent1"/>
          <w:sz w:val="22"/>
        </w:rPr>
      </w:pPr>
      <w:r>
        <w:rPr>
          <w:rFonts w:cs="Arial" w:ascii="Arial" w:hAnsi="Arial"/>
          <w:color w:val="4472C4" w:themeColor="accent1"/>
          <w:sz w:val="22"/>
        </w:rPr>
        <w:t xml:space="preserve"> </w:t>
      </w:r>
    </w:p>
    <w:p>
      <w:pPr>
        <w:pStyle w:val="Titre2"/>
        <w:ind w:left="12" w:right="936" w:hanging="10"/>
        <w:rPr>
          <w:rFonts w:ascii="Arial" w:hAnsi="Arial" w:cs="Arial"/>
          <w:color w:val="auto"/>
          <w:sz w:val="22"/>
        </w:rPr>
      </w:pPr>
      <w:r>
        <w:rPr>
          <w:rFonts w:cs="Arial" w:ascii="Arial" w:hAnsi="Arial"/>
          <w:color w:val="auto"/>
          <w:sz w:val="22"/>
        </w:rPr>
        <w:t>Sur le déroulement de l’enquête publique</w:t>
      </w:r>
      <w:r>
        <w:rPr>
          <w:rFonts w:cs="Arial" w:ascii="Arial" w:hAnsi="Arial"/>
          <w:color w:val="auto"/>
          <w:sz w:val="22"/>
          <w:u w:val="none"/>
        </w:rPr>
        <w:t xml:space="preserve">  </w:t>
      </w:r>
    </w:p>
    <w:p>
      <w:pPr>
        <w:pStyle w:val="ListParagraph"/>
        <w:numPr>
          <w:ilvl w:val="0"/>
          <w:numId w:val="30"/>
        </w:numPr>
        <w:spacing w:lineRule="auto" w:line="247" w:before="0" w:after="169"/>
        <w:ind w:left="372" w:right="51" w:hanging="360"/>
        <w:contextualSpacing/>
        <w:jc w:val="both"/>
        <w:rPr>
          <w:rFonts w:ascii="Arial" w:hAnsi="Arial" w:cs="Arial"/>
          <w:color w:val="auto"/>
          <w:sz w:val="22"/>
        </w:rPr>
      </w:pPr>
      <w:r>
        <w:rPr>
          <w:rFonts w:cs="Arial" w:ascii="Arial" w:hAnsi="Arial"/>
          <w:color w:val="auto"/>
          <w:sz w:val="22"/>
        </w:rPr>
        <w:t xml:space="preserve">que l’enquête s’est déroulée dans de très bonnes conditions,  </w:t>
      </w:r>
    </w:p>
    <w:p>
      <w:pPr>
        <w:pStyle w:val="ListParagraph"/>
        <w:ind w:left="372" w:right="51" w:hanging="0"/>
        <w:rPr>
          <w:rFonts w:ascii="Arial" w:hAnsi="Arial" w:cs="Arial"/>
          <w:color w:val="auto"/>
          <w:sz w:val="22"/>
        </w:rPr>
      </w:pPr>
      <w:r>
        <w:rPr>
          <w:rFonts w:cs="Arial" w:ascii="Arial" w:hAnsi="Arial"/>
          <w:color w:val="auto"/>
          <w:sz w:val="22"/>
        </w:rPr>
      </w:r>
    </w:p>
    <w:p>
      <w:pPr>
        <w:pStyle w:val="ListParagraph"/>
        <w:numPr>
          <w:ilvl w:val="0"/>
          <w:numId w:val="30"/>
        </w:numPr>
        <w:spacing w:lineRule="auto" w:line="247" w:before="0" w:after="0"/>
        <w:ind w:left="372" w:right="51" w:hanging="360"/>
        <w:contextualSpacing/>
        <w:jc w:val="both"/>
        <w:rPr>
          <w:rFonts w:ascii="Arial" w:hAnsi="Arial" w:cs="Arial"/>
          <w:color w:val="auto"/>
          <w:sz w:val="22"/>
        </w:rPr>
      </w:pPr>
      <w:r>
        <w:rPr>
          <w:rFonts w:cs="Arial" w:ascii="Arial" w:hAnsi="Arial"/>
          <w:color w:val="auto"/>
          <w:sz w:val="22"/>
        </w:rPr>
        <w:t xml:space="preserve">qu’en plus des dossiers d’enquête préalable à la DUP et parcellaire et les registres d’enquête, le public avait à sa disposition l’arrêté préfectoral précité, l’avis d’enquête publique, </w:t>
      </w:r>
    </w:p>
    <w:p>
      <w:pPr>
        <w:pStyle w:val="Normal"/>
        <w:spacing w:lineRule="auto" w:line="259" w:before="0" w:after="0"/>
        <w:ind w:left="-331" w:firstLine="60"/>
        <w:rPr>
          <w:rFonts w:ascii="Arial" w:hAnsi="Arial" w:cs="Arial"/>
          <w:color w:val="auto"/>
          <w:sz w:val="22"/>
        </w:rPr>
      </w:pPr>
      <w:r>
        <w:rPr>
          <w:rFonts w:cs="Arial" w:ascii="Arial" w:hAnsi="Arial"/>
          <w:color w:val="auto"/>
          <w:sz w:val="22"/>
        </w:rPr>
      </w:r>
    </w:p>
    <w:p>
      <w:pPr>
        <w:pStyle w:val="ListParagraph"/>
        <w:numPr>
          <w:ilvl w:val="0"/>
          <w:numId w:val="30"/>
        </w:numPr>
        <w:spacing w:lineRule="auto" w:line="247" w:before="0" w:after="0"/>
        <w:ind w:left="372" w:right="51" w:hanging="360"/>
        <w:contextualSpacing/>
        <w:jc w:val="both"/>
        <w:rPr>
          <w:rFonts w:ascii="Arial" w:hAnsi="Arial" w:cs="Arial"/>
          <w:color w:val="auto"/>
          <w:sz w:val="22"/>
        </w:rPr>
      </w:pPr>
      <w:r>
        <w:rPr>
          <w:rFonts w:cs="Arial" w:ascii="Arial" w:hAnsi="Arial"/>
          <w:color w:val="auto"/>
          <w:sz w:val="22"/>
        </w:rPr>
        <w:t>que la salle de réuion et le burea des services Urbanisme ont été mis à la disposition du commissaire enquêteur pour assurer ses fonctions dans les meilleures conditions, et recevoir le public,</w:t>
      </w:r>
    </w:p>
    <w:p>
      <w:pPr>
        <w:pStyle w:val="Normal"/>
        <w:spacing w:lineRule="auto" w:line="259" w:before="0" w:after="0"/>
        <w:ind w:left="-331" w:firstLine="60"/>
        <w:rPr>
          <w:rFonts w:ascii="Arial" w:hAnsi="Arial" w:cs="Arial"/>
          <w:color w:val="auto"/>
          <w:sz w:val="22"/>
        </w:rPr>
      </w:pPr>
      <w:r>
        <w:rPr>
          <w:rFonts w:cs="Arial" w:ascii="Arial" w:hAnsi="Arial"/>
          <w:color w:val="auto"/>
          <w:sz w:val="22"/>
        </w:rPr>
      </w:r>
    </w:p>
    <w:p>
      <w:pPr>
        <w:pStyle w:val="ListParagraph"/>
        <w:numPr>
          <w:ilvl w:val="0"/>
          <w:numId w:val="30"/>
        </w:numPr>
        <w:spacing w:lineRule="auto" w:line="247" w:before="0" w:after="169"/>
        <w:ind w:left="372" w:right="51" w:hanging="360"/>
        <w:contextualSpacing/>
        <w:jc w:val="both"/>
        <w:rPr>
          <w:rFonts w:ascii="Arial" w:hAnsi="Arial" w:cs="Arial"/>
          <w:color w:val="auto"/>
          <w:sz w:val="22"/>
        </w:rPr>
      </w:pPr>
      <w:r>
        <w:rPr>
          <w:rFonts w:cs="Arial" w:ascii="Arial" w:hAnsi="Arial"/>
          <w:color w:val="auto"/>
          <w:sz w:val="22"/>
        </w:rPr>
        <w:t>que l’enquête publique s’est déroulée conformément aux dispositions de l’arrêté préfectoral du 10 janvier 2024,</w:t>
      </w:r>
    </w:p>
    <w:p>
      <w:pPr>
        <w:pStyle w:val="ListParagraph"/>
        <w:ind w:left="372" w:right="51" w:hanging="0"/>
        <w:rPr>
          <w:rFonts w:ascii="Arial" w:hAnsi="Arial" w:cs="Arial"/>
          <w:color w:val="auto"/>
          <w:sz w:val="22"/>
        </w:rPr>
      </w:pPr>
      <w:r>
        <w:rPr>
          <w:rFonts w:cs="Arial" w:ascii="Arial" w:hAnsi="Arial"/>
          <w:color w:val="auto"/>
          <w:sz w:val="22"/>
        </w:rPr>
        <w:t xml:space="preserve">  </w:t>
      </w:r>
    </w:p>
    <w:p>
      <w:pPr>
        <w:pStyle w:val="ListParagraph"/>
        <w:numPr>
          <w:ilvl w:val="0"/>
          <w:numId w:val="30"/>
        </w:numPr>
        <w:spacing w:lineRule="auto" w:line="247" w:before="0" w:after="169"/>
        <w:ind w:left="372" w:right="51" w:hanging="360"/>
        <w:contextualSpacing/>
        <w:jc w:val="both"/>
        <w:rPr>
          <w:rFonts w:ascii="Arial" w:hAnsi="Arial" w:cs="Arial"/>
          <w:color w:val="auto"/>
          <w:sz w:val="22"/>
        </w:rPr>
      </w:pPr>
      <w:r>
        <w:rPr>
          <w:rFonts w:cs="Arial" w:ascii="Arial" w:hAnsi="Arial"/>
          <w:color w:val="auto"/>
          <w:sz w:val="22"/>
        </w:rPr>
        <w:t>que le commissaire-enquêteur a pu conduire l’enquête sans difficulté,</w:t>
      </w:r>
    </w:p>
    <w:p>
      <w:pPr>
        <w:pStyle w:val="ListParagraph"/>
        <w:ind w:left="372" w:right="51" w:hanging="0"/>
        <w:rPr>
          <w:rFonts w:ascii="Arial" w:hAnsi="Arial" w:cs="Arial"/>
          <w:color w:val="auto"/>
          <w:sz w:val="22"/>
        </w:rPr>
      </w:pPr>
      <w:r>
        <w:rPr>
          <w:rFonts w:cs="Arial" w:ascii="Arial" w:hAnsi="Arial"/>
          <w:color w:val="auto"/>
          <w:sz w:val="22"/>
        </w:rPr>
        <w:t xml:space="preserve">  </w:t>
      </w:r>
    </w:p>
    <w:p>
      <w:pPr>
        <w:pStyle w:val="ListParagraph"/>
        <w:numPr>
          <w:ilvl w:val="0"/>
          <w:numId w:val="30"/>
        </w:numPr>
        <w:spacing w:lineRule="auto" w:line="247" w:before="0" w:after="169"/>
        <w:ind w:left="372" w:right="51" w:hanging="360"/>
        <w:contextualSpacing/>
        <w:jc w:val="both"/>
        <w:rPr>
          <w:rFonts w:ascii="Arial" w:hAnsi="Arial" w:cs="Arial"/>
          <w:color w:val="auto"/>
          <w:sz w:val="22"/>
        </w:rPr>
      </w:pPr>
      <w:r>
        <w:rPr>
          <w:rFonts w:cs="Arial" w:ascii="Arial" w:hAnsi="Arial"/>
          <w:color w:val="auto"/>
          <w:sz w:val="22"/>
        </w:rPr>
        <w:t>que le commissaire-enquêteur a pu échanger tout au long de l’enquête et poser ses questions aux élus et services de la ville de GONESSE.</w:t>
      </w:r>
    </w:p>
    <w:p>
      <w:pPr>
        <w:pStyle w:val="Titre2"/>
        <w:ind w:left="12" w:right="936" w:hanging="10"/>
        <w:rPr>
          <w:rFonts w:ascii="Arial" w:hAnsi="Arial" w:cs="Arial"/>
          <w:color w:val="auto"/>
          <w:sz w:val="22"/>
        </w:rPr>
      </w:pPr>
      <w:r>
        <w:rPr>
          <w:rFonts w:cs="Arial" w:ascii="Arial" w:hAnsi="Arial"/>
          <w:color w:val="auto"/>
          <w:sz w:val="22"/>
        </w:rPr>
        <w:t>Sur la demande d’utilité publique présentée par la commune de GONESSE</w:t>
      </w:r>
      <w:r>
        <w:rPr>
          <w:rFonts w:cs="Arial" w:ascii="Arial" w:hAnsi="Arial"/>
          <w:color w:val="auto"/>
          <w:sz w:val="22"/>
          <w:u w:val="none"/>
        </w:rPr>
        <w:t xml:space="preserve"> </w:t>
      </w:r>
    </w:p>
    <w:p>
      <w:pPr>
        <w:pStyle w:val="Normal"/>
        <w:ind w:left="12" w:right="51" w:hanging="10"/>
        <w:rPr>
          <w:rFonts w:ascii="Arial" w:hAnsi="Arial" w:cs="Arial"/>
          <w:color w:val="auto"/>
          <w:sz w:val="22"/>
        </w:rPr>
      </w:pPr>
      <w:r>
        <w:rPr>
          <w:rFonts w:cs="Arial" w:ascii="Arial" w:hAnsi="Arial"/>
          <w:color w:val="auto"/>
          <w:sz w:val="22"/>
        </w:rPr>
        <w:t xml:space="preserve">Plusieurs critères doivent être examinés pour établir le caractère d’utilité ou non du projet soumis à l’enquête. Il s’agit ici d’effectuer une analyse bilancielle du projet. </w:t>
      </w:r>
    </w:p>
    <w:p>
      <w:pPr>
        <w:pStyle w:val="Normal"/>
        <w:ind w:left="12" w:right="51" w:hanging="10"/>
        <w:rPr>
          <w:rFonts w:ascii="Arial" w:hAnsi="Arial" w:cs="Arial"/>
          <w:color w:val="auto"/>
          <w:sz w:val="22"/>
        </w:rPr>
      </w:pPr>
      <w:r>
        <w:rPr>
          <w:rFonts w:cs="Arial" w:ascii="Arial" w:hAnsi="Arial"/>
          <w:color w:val="auto"/>
          <w:sz w:val="22"/>
        </w:rPr>
      </w:r>
    </w:p>
    <w:p>
      <w:pPr>
        <w:pStyle w:val="Normal"/>
        <w:spacing w:lineRule="auto" w:line="268" w:before="0" w:after="146"/>
        <w:ind w:left="12" w:hanging="10"/>
        <w:rPr>
          <w:rFonts w:ascii="Arial" w:hAnsi="Arial" w:cs="Arial"/>
          <w:b/>
          <w:b/>
          <w:bCs/>
          <w:i/>
          <w:i/>
          <w:iCs/>
          <w:color w:val="auto"/>
          <w:sz w:val="22"/>
        </w:rPr>
      </w:pPr>
      <w:r>
        <w:rPr>
          <w:rFonts w:cs="Arial" w:ascii="Arial" w:hAnsi="Arial"/>
          <w:b/>
          <w:bCs/>
          <w:color w:val="auto"/>
          <w:sz w:val="22"/>
          <w:u w:val="single"/>
        </w:rPr>
        <w:t>1</w:t>
      </w:r>
      <w:r>
        <w:rPr>
          <w:rFonts w:cs="Arial" w:ascii="Arial" w:hAnsi="Arial"/>
          <w:b/>
          <w:bCs/>
          <w:color w:val="auto"/>
          <w:sz w:val="22"/>
          <w:u w:val="single"/>
          <w:vertAlign w:val="superscript"/>
        </w:rPr>
        <w:t>er</w:t>
      </w:r>
      <w:r>
        <w:rPr>
          <w:rFonts w:cs="Arial" w:ascii="Arial" w:hAnsi="Arial"/>
          <w:b/>
          <w:bCs/>
          <w:color w:val="auto"/>
          <w:sz w:val="22"/>
          <w:u w:val="single"/>
        </w:rPr>
        <w:t xml:space="preserve"> critère</w:t>
      </w:r>
      <w:r>
        <w:rPr>
          <w:rFonts w:cs="Arial" w:ascii="Arial" w:hAnsi="Arial"/>
          <w:color w:val="auto"/>
          <w:sz w:val="22"/>
        </w:rPr>
        <w:t xml:space="preserve"> </w:t>
      </w:r>
      <w:r>
        <w:rPr>
          <w:rFonts w:cs="Arial" w:ascii="Arial" w:hAnsi="Arial"/>
          <w:b/>
          <w:bCs/>
          <w:color w:val="auto"/>
          <w:sz w:val="22"/>
        </w:rPr>
        <w:t>:</w:t>
      </w:r>
      <w:r>
        <w:rPr>
          <w:rFonts w:cs="Arial" w:ascii="Arial" w:hAnsi="Arial"/>
          <w:color w:val="auto"/>
          <w:sz w:val="22"/>
        </w:rPr>
        <w:t xml:space="preserve"> </w:t>
      </w:r>
      <w:r>
        <w:rPr>
          <w:rFonts w:cs="Arial" w:ascii="Arial" w:hAnsi="Arial"/>
          <w:b/>
          <w:bCs/>
          <w:i/>
          <w:iCs/>
          <w:color w:val="auto"/>
          <w:sz w:val="22"/>
        </w:rPr>
        <w:t>LE PROJET MIS A L’ENQUETE PRESENTE T-IL CONCRETEMENT UN CARACTERE D’INTERET GENERAL</w:t>
      </w:r>
      <w:r>
        <w:rPr>
          <w:rFonts w:cs="Arial" w:ascii="Arial" w:hAnsi="Arial"/>
          <w:color w:val="auto"/>
          <w:sz w:val="22"/>
        </w:rPr>
        <w:t> </w:t>
      </w:r>
      <w:r>
        <w:rPr>
          <w:rFonts w:cs="Arial" w:ascii="Arial" w:hAnsi="Arial"/>
          <w:b/>
          <w:bCs/>
          <w:i/>
          <w:iCs/>
          <w:color w:val="auto"/>
          <w:sz w:val="22"/>
        </w:rPr>
        <w:t>?</w:t>
      </w:r>
    </w:p>
    <w:p>
      <w:pPr>
        <w:pStyle w:val="Normal"/>
        <w:ind w:left="21" w:hanging="0"/>
        <w:rPr>
          <w:rFonts w:ascii="Arial" w:hAnsi="Arial" w:cs="Arial"/>
          <w:sz w:val="22"/>
        </w:rPr>
      </w:pPr>
      <w:r>
        <w:rPr>
          <w:rFonts w:cs="Arial" w:ascii="Arial" w:hAnsi="Arial"/>
          <w:sz w:val="22"/>
        </w:rPr>
        <w:t>Le projet est situé dans le quartier des Marronniers qui, à la suite des constats portés par le PLU de 2017, a été inscrits dans un quartier d’intérêt régional au sens de l’Agence Nationale de l’Amélioration de l’Habitat (ANAH) (QP095034, Gonesse, Villiers-le-Bel, Arnouville, Carreaux-Fauconnière-Marronniers-Pôle Gare), car il présente des dysfonctionnements urbains d’importance régionale.</w:t>
      </w:r>
    </w:p>
    <w:p>
      <w:pPr>
        <w:pStyle w:val="Normal"/>
        <w:rPr>
          <w:rFonts w:ascii="Arial" w:hAnsi="Arial" w:cs="Arial"/>
          <w:sz w:val="22"/>
        </w:rPr>
      </w:pPr>
      <w:r>
        <w:rPr>
          <w:rFonts w:cs="Arial" w:ascii="Arial" w:hAnsi="Arial"/>
          <w:sz w:val="22"/>
        </w:rPr>
        <w:t>Aujourd’hui, le quartier est classé en quartier prioritaire de la ville suite à sa paupérisation. En effet, il concentre un taux de chômage élevé (21,6%) par rapport au reste de la ville (15,9%) et une grande majorité des actifs sont ouvriers (36%).</w:t>
      </w:r>
    </w:p>
    <w:p>
      <w:pPr>
        <w:pStyle w:val="Normal"/>
        <w:ind w:left="27" w:hanging="10"/>
        <w:rPr>
          <w:rFonts w:ascii="Arial" w:hAnsi="Arial" w:cs="Arial"/>
          <w:sz w:val="22"/>
        </w:rPr>
      </w:pPr>
      <w:r>
        <w:rPr>
          <w:rFonts w:cs="Arial" w:ascii="Arial" w:hAnsi="Arial"/>
          <w:sz w:val="22"/>
        </w:rPr>
        <w:t xml:space="preserve">La convention cadre NPNRU prévoit pour ce secteur le déploiement d’une stratégie de diversification résidentielle dans laquelle s’inscrit le futur lotissement dit « des Jasmins ».  </w:t>
      </w:r>
    </w:p>
    <w:p>
      <w:pPr>
        <w:pStyle w:val="Normal"/>
        <w:ind w:left="27" w:hanging="10"/>
        <w:rPr>
          <w:rFonts w:ascii="Arial" w:hAnsi="Arial" w:cs="Arial"/>
          <w:sz w:val="22"/>
        </w:rPr>
      </w:pPr>
      <w:r>
        <w:rPr>
          <w:rFonts w:cs="Arial" w:ascii="Arial" w:hAnsi="Arial"/>
          <w:sz w:val="22"/>
        </w:rPr>
        <w:t>Il prévoit en effet de construire, sur des terrains laissés à l’abandon depuis de nombreuses années, 20 lots à bâtir destinés à l’accueil de maisons individuelles à coût maîtrisé en accession libre à la propriété, une aire de jeux, un terrain de pétanque et des places de stationnement publiques.</w:t>
      </w:r>
    </w:p>
    <w:p>
      <w:pPr>
        <w:pStyle w:val="Normal"/>
        <w:spacing w:lineRule="auto" w:line="256" w:before="0" w:after="191"/>
        <w:ind w:left="12" w:right="48" w:hanging="10"/>
        <w:rPr>
          <w:rFonts w:ascii="Arial" w:hAnsi="Arial" w:cs="Arial"/>
          <w:b/>
          <w:b/>
          <w:bCs/>
          <w:color w:val="auto"/>
          <w:sz w:val="22"/>
        </w:rPr>
      </w:pPr>
      <w:r>
        <w:rPr>
          <w:rFonts w:cs="Arial" w:ascii="Arial" w:hAnsi="Arial"/>
          <w:b/>
          <w:bCs/>
          <w:color w:val="auto"/>
          <w:sz w:val="22"/>
        </w:rPr>
        <w:t>Au vu de ces éléments, le commissaire enquêteur considère que les objectifs de la commune</w:t>
      </w:r>
      <w:r>
        <w:rPr>
          <w:rFonts w:cs="Arial" w:ascii="Arial" w:hAnsi="Arial"/>
          <w:b/>
          <w:bCs/>
          <w:color w:val="auto"/>
          <w:sz w:val="22"/>
          <w:u w:val="none" w:color="000000"/>
        </w:rPr>
        <w:t xml:space="preserve"> répondent à la notion d’utilité</w:t>
      </w:r>
      <w:r>
        <w:rPr>
          <w:rFonts w:cs="Arial" w:ascii="Arial" w:hAnsi="Arial"/>
          <w:b/>
          <w:bCs/>
          <w:color w:val="auto"/>
          <w:sz w:val="22"/>
        </w:rPr>
        <w:t xml:space="preserve"> </w:t>
      </w:r>
      <w:r>
        <w:rPr>
          <w:rFonts w:cs="Arial" w:ascii="Arial" w:hAnsi="Arial"/>
          <w:b/>
          <w:bCs/>
          <w:color w:val="auto"/>
          <w:sz w:val="22"/>
          <w:u w:val="none" w:color="000000"/>
        </w:rPr>
        <w:t>publique</w:t>
      </w:r>
      <w:r>
        <w:rPr>
          <w:rFonts w:cs="Arial" w:ascii="Arial" w:hAnsi="Arial"/>
          <w:b/>
          <w:bCs/>
          <w:color w:val="auto"/>
          <w:sz w:val="22"/>
        </w:rPr>
        <w:t>.</w:t>
      </w:r>
    </w:p>
    <w:p>
      <w:pPr>
        <w:pStyle w:val="Normal"/>
        <w:spacing w:lineRule="auto" w:line="256" w:before="0" w:after="191"/>
        <w:ind w:left="12" w:right="48" w:hanging="10"/>
        <w:rPr>
          <w:rFonts w:ascii="Arial" w:hAnsi="Arial" w:cs="Arial"/>
          <w:sz w:val="22"/>
        </w:rPr>
      </w:pPr>
      <w:r>
        <w:rPr>
          <w:rFonts w:cs="Arial" w:ascii="Arial" w:hAnsi="Arial"/>
          <w:b/>
          <w:bCs/>
          <w:color w:val="auto"/>
          <w:sz w:val="22"/>
        </w:rPr>
        <w:t xml:space="preserve"> </w:t>
      </w:r>
      <w:r>
        <w:rPr>
          <w:rFonts w:cs="Arial" w:ascii="Arial" w:hAnsi="Arial"/>
          <w:color w:val="auto"/>
          <w:sz w:val="22"/>
        </w:rPr>
        <w:t>Il convient de vérifier si les expropriations envisagées sont nécessaires pour les atteindre</w:t>
      </w:r>
      <w:r>
        <w:rPr>
          <w:rFonts w:cs="Arial" w:ascii="Arial" w:hAnsi="Arial"/>
          <w:sz w:val="22"/>
        </w:rPr>
        <w:t xml:space="preserve">. </w:t>
      </w:r>
    </w:p>
    <w:p>
      <w:pPr>
        <w:pStyle w:val="Normal"/>
        <w:rPr>
          <w:rFonts w:ascii="Arial" w:hAnsi="Arial" w:cs="Arial"/>
          <w:sz w:val="22"/>
        </w:rPr>
      </w:pPr>
      <w:r>
        <w:rPr>
          <w:rFonts w:cs="Arial" w:ascii="Arial" w:hAnsi="Arial"/>
          <w:sz w:val="22"/>
        </w:rPr>
      </w:r>
    </w:p>
    <w:p>
      <w:pPr>
        <w:pStyle w:val="Normal"/>
        <w:spacing w:lineRule="auto" w:line="268" w:before="0" w:after="146"/>
        <w:ind w:left="12" w:hanging="10"/>
        <w:rPr>
          <w:rFonts w:ascii="Arial" w:hAnsi="Arial" w:cs="Arial"/>
          <w:color w:val="auto"/>
          <w:sz w:val="22"/>
        </w:rPr>
      </w:pPr>
      <w:r>
        <w:rPr>
          <w:rFonts w:cs="Arial" w:ascii="Arial" w:hAnsi="Arial"/>
          <w:b/>
          <w:bCs/>
          <w:color w:val="auto"/>
          <w:sz w:val="22"/>
          <w:u w:val="single"/>
        </w:rPr>
        <w:t>2</w:t>
      </w:r>
      <w:r>
        <w:rPr>
          <w:rFonts w:cs="Arial" w:ascii="Arial" w:hAnsi="Arial"/>
          <w:b/>
          <w:bCs/>
          <w:color w:val="auto"/>
          <w:sz w:val="22"/>
          <w:u w:val="single"/>
          <w:vertAlign w:val="superscript"/>
        </w:rPr>
        <w:t>ème</w:t>
      </w:r>
      <w:r>
        <w:rPr>
          <w:rFonts w:cs="Arial" w:ascii="Arial" w:hAnsi="Arial"/>
          <w:b/>
          <w:bCs/>
          <w:color w:val="auto"/>
          <w:sz w:val="22"/>
          <w:u w:val="single"/>
        </w:rPr>
        <w:t xml:space="preserve"> critère :</w:t>
      </w:r>
      <w:r>
        <w:rPr>
          <w:rFonts w:cs="Arial" w:ascii="Arial" w:hAnsi="Arial"/>
          <w:color w:val="auto"/>
          <w:sz w:val="22"/>
        </w:rPr>
        <w:t xml:space="preserve"> </w:t>
      </w:r>
      <w:r>
        <w:rPr>
          <w:rFonts w:cs="Arial" w:ascii="Arial" w:hAnsi="Arial"/>
          <w:b/>
          <w:bCs/>
          <w:i/>
          <w:iCs/>
          <w:color w:val="auto"/>
          <w:sz w:val="22"/>
        </w:rPr>
        <w:t>LES EXPROPRIATIONS ENVISAGEES SONT-ELLES NECESSAIRES POUR ATTEINDRE LES OBJECTIFS VISÉS PAR LE PROJET MIS A L’ENQUETE ?</w:t>
      </w:r>
      <w:r>
        <w:rPr>
          <w:rFonts w:cs="Arial" w:ascii="Arial" w:hAnsi="Arial"/>
          <w:color w:val="auto"/>
          <w:sz w:val="22"/>
        </w:rPr>
        <w:t xml:space="preserve"> </w:t>
      </w:r>
    </w:p>
    <w:p>
      <w:pPr>
        <w:pStyle w:val="Normal"/>
        <w:spacing w:lineRule="auto" w:line="268" w:before="0" w:after="146"/>
        <w:ind w:left="12" w:hanging="10"/>
        <w:rPr>
          <w:rFonts w:ascii="Arial" w:hAnsi="Arial" w:cs="Arial"/>
          <w:sz w:val="22"/>
        </w:rPr>
      </w:pPr>
      <w:r>
        <w:rPr>
          <w:rFonts w:cs="Arial" w:ascii="Arial" w:hAnsi="Arial"/>
          <w:color w:val="auto"/>
          <w:sz w:val="22"/>
        </w:rPr>
        <w:t>Comme nous l’avons évoqué en préambule, la ville de GONESSE s’est rapprochée en 2017 des propriétaires indivis des terrains délaissés par le biais de l’</w:t>
      </w:r>
      <w:r>
        <w:rPr>
          <w:rFonts w:cs="Arial" w:ascii="Arial" w:hAnsi="Arial"/>
          <w:sz w:val="22"/>
        </w:rPr>
        <w:t>Association Syndicale Libre dénommée « </w:t>
      </w:r>
      <w:r>
        <w:rPr>
          <w:rFonts w:cs="Arial" w:ascii="Arial" w:hAnsi="Arial"/>
          <w:i/>
          <w:iCs/>
          <w:sz w:val="22"/>
        </w:rPr>
        <w:t>ASL Claire Vallée</w:t>
      </w:r>
      <w:r>
        <w:rPr>
          <w:rFonts w:cs="Arial" w:ascii="Arial" w:hAnsi="Arial"/>
          <w:sz w:val="22"/>
        </w:rPr>
        <w:t> » qui regroupe les 60 propriétaires concernés. Lors de l’Assemblée Générale du 29 juin 2017, 45 propriétaires indivis sur 46 présents, soit 76,5 % des tantièmes, ont voté en faveur de la proposition de la ville de GONESSE.</w:t>
      </w:r>
    </w:p>
    <w:p>
      <w:pPr>
        <w:pStyle w:val="Normal"/>
        <w:rPr>
          <w:rFonts w:ascii="Arial" w:hAnsi="Arial" w:cs="Arial"/>
          <w:sz w:val="22"/>
        </w:rPr>
      </w:pPr>
      <w:r>
        <w:rPr>
          <w:rFonts w:cs="Arial" w:ascii="Arial" w:hAnsi="Arial"/>
          <w:sz w:val="22"/>
        </w:rPr>
        <w:t>La ville a ensuite missionné la SARL Assistance Foncière pour signer les accords amiables avec l’ensemble des copropriétaires. Après six ans de travail, 57 accords ont été signés à ce jour, un accord est en cours de signature, une succession s’avère insoluble en raison de la disparition d’un des héritiers à l’étranger et il reste un opposant qui s’est manifesté lors de l’enquête.</w:t>
      </w:r>
    </w:p>
    <w:p>
      <w:pPr>
        <w:pStyle w:val="Normal"/>
        <w:spacing w:lineRule="auto" w:line="259" w:before="0" w:after="0"/>
        <w:ind w:left="0" w:hanging="0"/>
        <w:rPr>
          <w:rFonts w:ascii="Arial" w:hAnsi="Arial" w:cs="Arial"/>
          <w:sz w:val="22"/>
        </w:rPr>
      </w:pPr>
      <w:r>
        <w:rPr>
          <w:rFonts w:cs="Arial" w:ascii="Arial" w:hAnsi="Arial"/>
          <w:sz w:val="22"/>
        </w:rPr>
        <w:t>Le projet d’expropriation vise à rendre possible, grâce à la puissance publique, la réalisation d’une opération d’habitat individuel en accession à prix maîtrisé, sur un terrain d’entrée de ville en friche, car non géré par des propriétaires qui n’en ont pas les moyens.</w:t>
      </w:r>
    </w:p>
    <w:p>
      <w:pPr>
        <w:pStyle w:val="Normal"/>
        <w:spacing w:lineRule="auto" w:line="259" w:before="0" w:after="0"/>
        <w:ind w:left="0" w:hanging="0"/>
        <w:rPr>
          <w:rFonts w:ascii="Arial" w:hAnsi="Arial" w:cs="Arial"/>
          <w:sz w:val="22"/>
        </w:rPr>
      </w:pPr>
      <w:r>
        <w:rPr>
          <w:rFonts w:cs="Arial" w:ascii="Arial" w:hAnsi="Arial"/>
          <w:sz w:val="22"/>
        </w:rPr>
      </w:r>
    </w:p>
    <w:p>
      <w:pPr>
        <w:pStyle w:val="Normal"/>
        <w:spacing w:lineRule="auto" w:line="259" w:before="0" w:after="0"/>
        <w:ind w:left="0" w:hanging="0"/>
        <w:rPr>
          <w:rFonts w:ascii="Arial" w:hAnsi="Arial" w:cs="Arial"/>
          <w:b/>
          <w:b/>
          <w:bCs/>
          <w:color w:val="auto"/>
          <w:sz w:val="22"/>
        </w:rPr>
      </w:pPr>
      <w:r>
        <w:rPr>
          <w:rFonts w:cs="Arial" w:ascii="Arial" w:hAnsi="Arial"/>
          <w:b/>
          <w:bCs/>
          <w:color w:val="auto"/>
          <w:sz w:val="22"/>
        </w:rPr>
        <w:t>Au vu de ce qui précède, le commissaire-enquêteur estime que les expropriations envisagées sont nécessaires pour atteindre les objectifs visés par le projet mis à l’enquête.</w:t>
      </w:r>
    </w:p>
    <w:p>
      <w:pPr>
        <w:pStyle w:val="Normal"/>
        <w:spacing w:lineRule="auto" w:line="259" w:before="0" w:after="0"/>
        <w:ind w:left="0" w:hanging="0"/>
        <w:rPr>
          <w:rFonts w:ascii="Arial" w:hAnsi="Arial" w:cs="Arial"/>
          <w:b/>
          <w:b/>
          <w:bCs/>
          <w:color w:val="auto"/>
          <w:sz w:val="22"/>
        </w:rPr>
      </w:pPr>
      <w:r>
        <w:rPr>
          <w:rFonts w:cs="Arial" w:ascii="Arial" w:hAnsi="Arial"/>
          <w:b/>
          <w:bCs/>
          <w:color w:val="auto"/>
          <w:sz w:val="22"/>
        </w:rPr>
      </w:r>
    </w:p>
    <w:p>
      <w:pPr>
        <w:pStyle w:val="Normal"/>
        <w:spacing w:lineRule="auto" w:line="259" w:before="0" w:after="0"/>
        <w:ind w:left="0" w:hanging="0"/>
        <w:rPr>
          <w:rFonts w:ascii="Arial" w:hAnsi="Arial" w:cs="Arial"/>
          <w:b/>
          <w:b/>
          <w:bCs/>
          <w:color w:val="auto"/>
          <w:sz w:val="22"/>
        </w:rPr>
      </w:pPr>
      <w:r>
        <w:rPr>
          <w:rFonts w:cs="Arial" w:ascii="Arial" w:hAnsi="Arial"/>
          <w:b/>
          <w:bCs/>
          <w:color w:val="auto"/>
          <w:sz w:val="22"/>
        </w:rPr>
      </w:r>
    </w:p>
    <w:p>
      <w:pPr>
        <w:pStyle w:val="Normal"/>
        <w:spacing w:lineRule="auto" w:line="268" w:before="0" w:after="146"/>
        <w:ind w:left="12" w:hanging="10"/>
        <w:rPr>
          <w:rFonts w:ascii="Arial" w:hAnsi="Arial" w:cs="Arial"/>
          <w:color w:val="auto"/>
          <w:sz w:val="22"/>
        </w:rPr>
      </w:pPr>
      <w:r>
        <w:rPr>
          <w:rFonts w:cs="Arial" w:ascii="Arial" w:hAnsi="Arial"/>
          <w:b/>
          <w:bCs/>
          <w:color w:val="auto"/>
          <w:sz w:val="22"/>
          <w:u w:val="single"/>
        </w:rPr>
        <w:t>3</w:t>
      </w:r>
      <w:r>
        <w:rPr>
          <w:rFonts w:cs="Arial" w:ascii="Arial" w:hAnsi="Arial"/>
          <w:b/>
          <w:bCs/>
          <w:color w:val="auto"/>
          <w:sz w:val="22"/>
          <w:u w:val="single"/>
          <w:vertAlign w:val="superscript"/>
        </w:rPr>
        <w:t>ème</w:t>
      </w:r>
      <w:r>
        <w:rPr>
          <w:rFonts w:cs="Arial" w:ascii="Arial" w:hAnsi="Arial"/>
          <w:b/>
          <w:bCs/>
          <w:color w:val="auto"/>
          <w:sz w:val="22"/>
          <w:u w:val="single"/>
        </w:rPr>
        <w:t xml:space="preserve"> critère :</w:t>
      </w:r>
      <w:r>
        <w:rPr>
          <w:rFonts w:cs="Arial" w:ascii="Arial" w:hAnsi="Arial"/>
          <w:color w:val="auto"/>
          <w:sz w:val="22"/>
        </w:rPr>
        <w:t xml:space="preserve"> </w:t>
      </w:r>
      <w:r>
        <w:rPr>
          <w:rFonts w:cs="Arial" w:ascii="Arial" w:hAnsi="Arial"/>
          <w:b/>
          <w:bCs/>
          <w:i/>
          <w:iCs/>
          <w:color w:val="auto"/>
          <w:sz w:val="22"/>
        </w:rPr>
        <w:t>LE BILAN COÛTS AVANTAGES PENCHE-T-IL EN FAVEUR DE LA REALISATION DU PROJET ?</w:t>
      </w:r>
      <w:r>
        <w:rPr>
          <w:rFonts w:cs="Arial" w:ascii="Arial" w:hAnsi="Arial"/>
          <w:color w:val="auto"/>
          <w:sz w:val="22"/>
        </w:rPr>
        <w:t xml:space="preserve"> </w:t>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t>A la demande de la ville, France Domaine a communiqué des évaluations en 2015, 2017 et la dernière en date, le 6 juillet 2022. Ces trois estimations sont cohérentes mais le délai d’un an étant dépassé, le commissaire enquêteur a suggéré une demande de réactualisation auprès de France Domaine.</w:t>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t>Au-delà de cette évaluation financière, le bilan doit être analysé au vu de l’ensemble des objectifs du projet :</w:t>
      </w:r>
    </w:p>
    <w:p>
      <w:pPr>
        <w:pStyle w:val="ListParagraph"/>
        <w:numPr>
          <w:ilvl w:val="0"/>
          <w:numId w:val="31"/>
        </w:numPr>
        <w:spacing w:lineRule="auto" w:line="259" w:before="0" w:after="0"/>
        <w:contextualSpacing/>
        <w:rPr>
          <w:rFonts w:ascii="Arial" w:hAnsi="Arial" w:eastAsia="Times New Roman" w:cs="Arial"/>
          <w:sz w:val="22"/>
        </w:rPr>
      </w:pPr>
      <w:r>
        <w:rPr>
          <w:rFonts w:eastAsia="Times New Roman" w:cs="Arial" w:ascii="Arial" w:hAnsi="Arial"/>
          <w:sz w:val="22"/>
        </w:rPr>
        <w:t>Réhabilitation de tout un quartier, dont les parties communes sont laissées à l’abandon, et qui, de ce fait, perd en attractivité et se paupérise,</w:t>
      </w:r>
    </w:p>
    <w:p>
      <w:pPr>
        <w:pStyle w:val="ListParagraph"/>
        <w:numPr>
          <w:ilvl w:val="0"/>
          <w:numId w:val="31"/>
        </w:numPr>
        <w:spacing w:lineRule="auto" w:line="259" w:before="0" w:after="0"/>
        <w:contextualSpacing/>
        <w:rPr>
          <w:rFonts w:ascii="Arial" w:hAnsi="Arial" w:eastAsia="Times New Roman" w:cs="Arial"/>
          <w:sz w:val="22"/>
        </w:rPr>
      </w:pPr>
      <w:r>
        <w:rPr>
          <w:rFonts w:eastAsia="Times New Roman" w:cs="Arial" w:ascii="Arial" w:hAnsi="Arial"/>
          <w:sz w:val="22"/>
        </w:rPr>
        <w:t>Aménagement d’un lotissement de 20 lots en accession, à un prix maitrisé objectif de 120 000 € HT/ lot, comprenant chacun un espace variant de 300 à 460 m2 avec une emprise constructible de 100 m2, qui répond au souhait de la ville de faciliter le parcours résidentiel des habitants en proposant une offre diversifiée.</w:t>
      </w:r>
    </w:p>
    <w:p>
      <w:pPr>
        <w:pStyle w:val="ListParagraph"/>
        <w:numPr>
          <w:ilvl w:val="0"/>
          <w:numId w:val="31"/>
        </w:numPr>
        <w:spacing w:lineRule="auto" w:line="259" w:before="0" w:after="0"/>
        <w:contextualSpacing/>
        <w:rPr>
          <w:rFonts w:ascii="Arial" w:hAnsi="Arial" w:eastAsia="Times New Roman" w:cs="Arial"/>
          <w:sz w:val="22"/>
        </w:rPr>
      </w:pPr>
      <w:r>
        <w:rPr>
          <w:rFonts w:eastAsia="Times New Roman" w:cs="Arial" w:ascii="Arial" w:hAnsi="Arial"/>
          <w:sz w:val="22"/>
        </w:rPr>
        <w:t xml:space="preserve">Remise en état de l’ensemble des voiries et espaces verts en prévoyant des zones non aedificandi dans les espaces publics et privés pour privilégier les plantations et maintenir une forte présence de verdure. </w:t>
      </w:r>
    </w:p>
    <w:p>
      <w:pPr>
        <w:pStyle w:val="ListParagraph"/>
        <w:numPr>
          <w:ilvl w:val="0"/>
          <w:numId w:val="31"/>
        </w:numPr>
        <w:spacing w:lineRule="auto" w:line="259" w:before="0" w:after="0"/>
        <w:contextualSpacing/>
        <w:rPr>
          <w:rFonts w:ascii="Arial" w:hAnsi="Arial" w:eastAsia="Times New Roman" w:cs="Arial"/>
          <w:sz w:val="22"/>
        </w:rPr>
      </w:pPr>
      <w:r>
        <w:rPr>
          <w:rFonts w:eastAsia="Times New Roman" w:cs="Arial" w:ascii="Arial" w:hAnsi="Arial"/>
          <w:sz w:val="22"/>
        </w:rPr>
        <w:t>Adhésion du voisinage à ce projet en recherchant une large majorité d’accords amiables de la part des propriétaires indivis directement concernés.</w:t>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68" w:before="0" w:after="146"/>
        <w:rPr>
          <w:rFonts w:ascii="Arial" w:hAnsi="Arial" w:cs="Arial"/>
          <w:color w:val="auto"/>
          <w:sz w:val="22"/>
          <w:u w:val="single"/>
        </w:rPr>
      </w:pPr>
      <w:r>
        <w:rPr>
          <w:rFonts w:cs="Arial" w:ascii="Arial" w:hAnsi="Arial"/>
          <w:color w:val="auto"/>
          <w:sz w:val="22"/>
          <w:u w:val="single"/>
        </w:rPr>
        <w:t xml:space="preserve">Le coût financier de l’opération poursuivie est-il supportable ? </w:t>
      </w:r>
    </w:p>
    <w:p>
      <w:pPr>
        <w:pStyle w:val="Normal"/>
        <w:spacing w:lineRule="auto" w:line="268" w:before="0" w:after="146"/>
        <w:rPr>
          <w:rFonts w:ascii="Arial" w:hAnsi="Arial" w:cs="Arial"/>
          <w:color w:val="auto"/>
          <w:sz w:val="22"/>
        </w:rPr>
      </w:pPr>
      <w:r>
        <w:rPr>
          <w:rFonts w:cs="Arial" w:ascii="Arial" w:hAnsi="Arial"/>
          <w:color w:val="auto"/>
          <w:sz w:val="22"/>
        </w:rPr>
        <w:t>Le montant de 230 000 € proposé pour l’acquisition des parcelles concernées par ce projet permet d’aboutir à un bilan financier raisonnable qui permet d’équilibrer le montant des travaux, évalué à 2 413 000 €, par la vente de 20 terrains à bâtir viabilisés à un prix moyen de 310 € HT / m2, à comparer au prix moyen observé sur internet sur le territoire de la ville de GONESSE de 800 € / m2.</w:t>
      </w:r>
    </w:p>
    <w:p>
      <w:pPr>
        <w:pStyle w:val="Normal"/>
        <w:spacing w:before="0" w:after="200"/>
        <w:ind w:left="31" w:right="51" w:hanging="10"/>
        <w:rPr>
          <w:rFonts w:ascii="Arial" w:hAnsi="Arial" w:cs="Arial"/>
          <w:color w:val="auto"/>
          <w:sz w:val="22"/>
        </w:rPr>
      </w:pPr>
      <w:r>
        <w:rPr>
          <w:rFonts w:cs="Arial" w:ascii="Arial" w:hAnsi="Arial"/>
          <w:b/>
          <w:bCs/>
          <w:color w:val="auto"/>
          <w:sz w:val="22"/>
        </w:rPr>
        <w:t>On relèvera évidemment, au titre des inconvénients une atteinte à la propriété privée</w:t>
      </w:r>
      <w:r>
        <w:rPr>
          <w:rFonts w:cs="Arial" w:ascii="Arial" w:hAnsi="Arial"/>
          <w:color w:val="auto"/>
          <w:sz w:val="22"/>
        </w:rPr>
        <w:t xml:space="preserve">. Toutefois, cette atteinte doit être relativisée car les terrains détenus en indivision ne sont plus entretenus depuis de nombreuses années et sont devenus inutilisables par les propriétaires indivis. </w:t>
      </w:r>
    </w:p>
    <w:p>
      <w:pPr>
        <w:pStyle w:val="Normal"/>
        <w:spacing w:before="0" w:after="200"/>
        <w:ind w:left="12" w:right="51" w:hanging="10"/>
        <w:rPr>
          <w:rFonts w:ascii="Arial" w:hAnsi="Arial" w:cs="Arial"/>
          <w:b/>
          <w:b/>
          <w:bCs/>
          <w:color w:val="auto"/>
          <w:sz w:val="22"/>
        </w:rPr>
      </w:pPr>
      <w:r>
        <w:rPr>
          <w:rFonts w:cs="Arial" w:ascii="Arial" w:hAnsi="Arial"/>
          <w:b/>
          <w:bCs/>
          <w:color w:val="auto"/>
          <w:sz w:val="22"/>
        </w:rPr>
        <w:t>Le bilan financier de l’opération parait raisonnable et l’objectif annoncé de proposer des terrains à coût maitrisé est donc atteint.</w:t>
      </w:r>
    </w:p>
    <w:p>
      <w:pPr>
        <w:pStyle w:val="Normal"/>
        <w:spacing w:lineRule="auto" w:line="268" w:before="0" w:after="146"/>
        <w:ind w:left="12" w:hanging="10"/>
        <w:rPr>
          <w:rFonts w:ascii="Arial" w:hAnsi="Arial" w:cs="Arial"/>
          <w:color w:val="auto"/>
          <w:sz w:val="22"/>
          <w:u w:val="single"/>
        </w:rPr>
      </w:pPr>
      <w:r>
        <w:rPr>
          <w:rFonts w:cs="Arial" w:ascii="Arial" w:hAnsi="Arial"/>
          <w:color w:val="auto"/>
          <w:sz w:val="22"/>
          <w:u w:val="single"/>
        </w:rPr>
        <w:t>Les inconvénients d’ordre social</w:t>
      </w:r>
    </w:p>
    <w:p>
      <w:pPr>
        <w:pStyle w:val="Normal"/>
        <w:spacing w:lineRule="auto" w:line="268" w:before="0" w:after="146"/>
        <w:ind w:left="12" w:hanging="10"/>
        <w:rPr>
          <w:rFonts w:ascii="Arial" w:hAnsi="Arial" w:cs="Arial"/>
          <w:color w:val="auto"/>
          <w:sz w:val="22"/>
        </w:rPr>
      </w:pPr>
      <w:r>
        <w:rPr>
          <w:rFonts w:cs="Arial" w:ascii="Arial" w:hAnsi="Arial"/>
          <w:color w:val="auto"/>
          <w:sz w:val="22"/>
        </w:rPr>
        <w:t>Mis à part l’atteinte à la propriété privée, évoquée ci-dessus, le projet dit « des Jasmins » présente beaucoup d’avantages, à savoir :</w:t>
      </w:r>
    </w:p>
    <w:p>
      <w:pPr>
        <w:pStyle w:val="ListParagraph"/>
        <w:numPr>
          <w:ilvl w:val="0"/>
          <w:numId w:val="35"/>
        </w:numPr>
        <w:spacing w:lineRule="auto" w:line="268" w:before="0" w:after="146"/>
        <w:contextualSpacing/>
        <w:rPr>
          <w:rFonts w:ascii="Arial" w:hAnsi="Arial" w:cs="Arial"/>
          <w:color w:val="auto"/>
          <w:sz w:val="22"/>
        </w:rPr>
      </w:pPr>
      <w:r>
        <w:rPr>
          <w:rFonts w:cs="Arial" w:ascii="Arial" w:hAnsi="Arial"/>
          <w:color w:val="auto"/>
          <w:sz w:val="22"/>
        </w:rPr>
        <w:t>Faciliter le parcours résidentiel des habitants qui ont des niveaux de revenu faibles, en proposant des terrains à un prix accessible dans un quartier agréable et bien desservi,</w:t>
      </w:r>
    </w:p>
    <w:p>
      <w:pPr>
        <w:pStyle w:val="ListParagraph"/>
        <w:numPr>
          <w:ilvl w:val="0"/>
          <w:numId w:val="35"/>
        </w:numPr>
        <w:spacing w:lineRule="auto" w:line="268" w:before="0" w:after="146"/>
        <w:contextualSpacing/>
        <w:rPr>
          <w:rFonts w:ascii="Arial" w:hAnsi="Arial" w:cs="Arial"/>
          <w:color w:val="auto"/>
          <w:sz w:val="22"/>
        </w:rPr>
      </w:pPr>
      <w:r>
        <w:rPr>
          <w:rFonts w:cs="Arial" w:ascii="Arial" w:hAnsi="Arial"/>
          <w:color w:val="auto"/>
          <w:sz w:val="22"/>
        </w:rPr>
        <w:t>Mise à disposition du voisinage des espaces publics rénovés et entretenus par la ville de Gonesse (voirie, espaces verts, boulodrome et aire de jeux pour enfants),</w:t>
      </w:r>
    </w:p>
    <w:p>
      <w:pPr>
        <w:pStyle w:val="ListParagraph"/>
        <w:numPr>
          <w:ilvl w:val="0"/>
          <w:numId w:val="35"/>
        </w:numPr>
        <w:spacing w:lineRule="auto" w:line="268" w:before="0" w:after="146"/>
        <w:contextualSpacing/>
        <w:rPr>
          <w:rFonts w:ascii="Arial" w:hAnsi="Arial" w:cs="Arial"/>
          <w:color w:val="auto"/>
          <w:sz w:val="22"/>
        </w:rPr>
      </w:pPr>
      <w:r>
        <w:rPr>
          <w:rFonts w:cs="Arial" w:ascii="Arial" w:hAnsi="Arial"/>
          <w:color w:val="auto"/>
          <w:sz w:val="22"/>
        </w:rPr>
        <w:t xml:space="preserve">Adhésion de la population qui n’a pas manifesté d’opposition lors de l’enquête, </w:t>
      </w:r>
    </w:p>
    <w:p>
      <w:pPr>
        <w:pStyle w:val="ListParagraph"/>
        <w:numPr>
          <w:ilvl w:val="0"/>
          <w:numId w:val="35"/>
        </w:numPr>
        <w:spacing w:lineRule="auto" w:line="268" w:before="0" w:after="146"/>
        <w:contextualSpacing/>
        <w:rPr>
          <w:rFonts w:ascii="Arial" w:hAnsi="Arial" w:cs="Arial"/>
          <w:color w:val="auto"/>
          <w:sz w:val="22"/>
        </w:rPr>
      </w:pPr>
      <w:r>
        <w:rPr>
          <w:rFonts w:cs="Arial" w:ascii="Arial" w:hAnsi="Arial"/>
          <w:color w:val="auto"/>
          <w:sz w:val="22"/>
        </w:rPr>
        <w:t>Adhésion des propriétaires indivis qui ont très majoritairement accepté le projet en acceptant la vente de leurs tantièmes de copropriété à la ville de Gonesse (57/60).</w:t>
      </w:r>
    </w:p>
    <w:p>
      <w:pPr>
        <w:pStyle w:val="Normal"/>
        <w:spacing w:lineRule="auto" w:line="268" w:before="0" w:after="146"/>
        <w:ind w:left="0" w:hanging="0"/>
        <w:rPr>
          <w:rFonts w:ascii="Arial" w:hAnsi="Arial" w:cs="Arial"/>
          <w:color w:val="auto"/>
          <w:sz w:val="22"/>
        </w:rPr>
      </w:pPr>
      <w:r>
        <w:rPr>
          <w:rFonts w:cs="Arial" w:ascii="Arial" w:hAnsi="Arial"/>
          <w:b/>
          <w:bCs/>
          <w:color w:val="auto"/>
          <w:sz w:val="22"/>
        </w:rPr>
        <w:t>Le bilan social est donc très largement en faveur du projet proposé.</w:t>
      </w:r>
    </w:p>
    <w:p>
      <w:pPr>
        <w:pStyle w:val="Normal"/>
        <w:spacing w:before="0" w:after="200"/>
        <w:ind w:left="0" w:right="51" w:hanging="0"/>
        <w:rPr>
          <w:rFonts w:ascii="Arial" w:hAnsi="Arial" w:cs="Arial"/>
          <w:color w:val="auto"/>
          <w:sz w:val="22"/>
          <w:u w:val="single"/>
        </w:rPr>
      </w:pPr>
      <w:r>
        <w:rPr>
          <w:rFonts w:cs="Arial" w:ascii="Arial" w:hAnsi="Arial"/>
          <w:color w:val="auto"/>
          <w:sz w:val="22"/>
          <w:u w:val="single"/>
        </w:rPr>
        <w:t>Intérêts environnementaux</w:t>
      </w:r>
    </w:p>
    <w:p>
      <w:pPr>
        <w:pStyle w:val="Normal"/>
        <w:spacing w:before="0" w:after="200"/>
        <w:ind w:left="12" w:right="51" w:hanging="10"/>
        <w:rPr>
          <w:rFonts w:ascii="Arial" w:hAnsi="Arial" w:cs="Arial"/>
          <w:color w:val="auto"/>
          <w:sz w:val="22"/>
        </w:rPr>
      </w:pPr>
      <w:r>
        <w:rPr>
          <w:rFonts w:cs="Arial" w:ascii="Arial" w:hAnsi="Arial"/>
          <w:color w:val="auto"/>
          <w:sz w:val="22"/>
        </w:rPr>
        <w:t xml:space="preserve">Le projet de lotissement dit « des Jasmins » a une superficie de 1,2 ha avec une emprise au sol des futures constructions et aménagements  de 3000 m2. En intégrant les aménagements annexes, l’assiette de l’ensemble de l’opération ne dépassera pas 1,5 ha. </w:t>
      </w:r>
    </w:p>
    <w:p>
      <w:pPr>
        <w:pStyle w:val="Normal"/>
        <w:spacing w:before="0" w:after="200"/>
        <w:ind w:left="31" w:right="51" w:hanging="10"/>
        <w:rPr>
          <w:rFonts w:ascii="Arial" w:hAnsi="Arial" w:cs="Arial"/>
          <w:color w:val="auto"/>
          <w:sz w:val="22"/>
        </w:rPr>
      </w:pPr>
      <w:r>
        <w:rPr>
          <w:rFonts w:cs="Arial" w:ascii="Arial" w:hAnsi="Arial"/>
          <w:color w:val="auto"/>
          <w:sz w:val="22"/>
        </w:rPr>
        <w:t>En application de l’article R.122-2 et de son annexe du Code de l’environnement, le premier alinéa du point 39 de l’annexe « Travaux, constructions et opérations d’aménagement » précise que les projets sont soumis à étude d’impact, évaluation environnementale, le cas échéant via une procédure dite « au cas par cas » s’ils concernent :</w:t>
      </w:r>
    </w:p>
    <w:p>
      <w:pPr>
        <w:pStyle w:val="ListParagraph"/>
        <w:numPr>
          <w:ilvl w:val="0"/>
          <w:numId w:val="3"/>
        </w:numPr>
        <w:spacing w:before="0" w:after="200"/>
        <w:ind w:left="720" w:right="51" w:hanging="360"/>
        <w:contextualSpacing/>
        <w:rPr>
          <w:rFonts w:ascii="Arial" w:hAnsi="Arial" w:cs="Arial"/>
          <w:color w:val="auto"/>
          <w:sz w:val="22"/>
        </w:rPr>
      </w:pPr>
      <w:r>
        <w:rPr>
          <w:rFonts w:cs="Arial" w:ascii="Arial" w:hAnsi="Arial"/>
          <w:color w:val="auto"/>
          <w:sz w:val="22"/>
        </w:rPr>
        <w:t>une opération d’aménagement dont le terrain d’assiette est compris entre 5 et 10 ha,</w:t>
      </w:r>
    </w:p>
    <w:p>
      <w:pPr>
        <w:pStyle w:val="ListParagraph"/>
        <w:numPr>
          <w:ilvl w:val="0"/>
          <w:numId w:val="3"/>
        </w:numPr>
        <w:spacing w:before="0" w:after="200"/>
        <w:ind w:left="720" w:right="51" w:hanging="360"/>
        <w:contextualSpacing/>
        <w:rPr>
          <w:rFonts w:ascii="Arial" w:hAnsi="Arial" w:cs="Arial"/>
          <w:color w:val="auto"/>
          <w:sz w:val="22"/>
        </w:rPr>
      </w:pPr>
      <w:r>
        <w:rPr>
          <w:rFonts w:cs="Arial" w:ascii="Arial" w:hAnsi="Arial"/>
          <w:color w:val="auto"/>
          <w:sz w:val="22"/>
        </w:rPr>
        <w:t>des travaux et constructions dont l’emprise au sol est supérieure à 10 000 m2.</w:t>
      </w:r>
    </w:p>
    <w:p>
      <w:pPr>
        <w:pStyle w:val="Normal"/>
        <w:spacing w:before="0" w:after="200"/>
        <w:ind w:left="0" w:right="51" w:hanging="0"/>
        <w:rPr>
          <w:rFonts w:ascii="Arial" w:hAnsi="Arial" w:cs="Arial"/>
          <w:color w:val="auto"/>
          <w:sz w:val="22"/>
        </w:rPr>
      </w:pPr>
      <w:r>
        <w:rPr>
          <w:rFonts w:cs="Arial" w:ascii="Arial" w:hAnsi="Arial"/>
          <w:b/>
          <w:bCs/>
          <w:color w:val="auto"/>
          <w:sz w:val="22"/>
        </w:rPr>
        <w:t xml:space="preserve">Le projet de lotissement dit « des Jasmins » ne répond pas aux critères relevant de l’article R 122-2 du code l’environnement et n’est donc soumis à aucune procédure préalable. </w:t>
      </w:r>
    </w:p>
    <w:p>
      <w:pPr>
        <w:pStyle w:val="Normal"/>
        <w:spacing w:before="0" w:after="200"/>
        <w:ind w:left="0" w:right="51" w:hanging="0"/>
        <w:rPr>
          <w:rFonts w:ascii="Arial" w:hAnsi="Arial" w:cs="Arial"/>
          <w:color w:val="auto"/>
          <w:sz w:val="22"/>
        </w:rPr>
      </w:pPr>
      <w:r>
        <w:rPr>
          <w:rFonts w:cs="Arial" w:ascii="Arial" w:hAnsi="Arial"/>
          <w:color w:val="auto"/>
          <w:sz w:val="22"/>
        </w:rPr>
        <w:t>Bien que les espaces concernés par l’opération soient laissés à l’abandon et rendus inutilisables par le voisinage, ils abritent néanmoins de nombreux arbres de haute tige qui protègent les habitations des nuisances phoniques du RER et des voies de circulation. Il conviendra donc de veiller à leur conservation et, en cas d’abattage rendu nécessaire par les aménagements ou leur état sanitaire, de prévoir leur remplacement à proximité.</w:t>
      </w:r>
    </w:p>
    <w:p>
      <w:pPr>
        <w:pStyle w:val="Normal"/>
        <w:spacing w:before="0" w:after="200"/>
        <w:ind w:left="0" w:right="51" w:hanging="0"/>
        <w:rPr>
          <w:rFonts w:ascii="Arial" w:hAnsi="Arial" w:cs="Arial"/>
          <w:color w:val="auto"/>
          <w:sz w:val="22"/>
        </w:rPr>
      </w:pPr>
      <w:r>
        <w:rPr>
          <w:rFonts w:cs="Arial" w:ascii="Arial" w:hAnsi="Arial"/>
          <w:color w:val="auto"/>
          <w:sz w:val="22"/>
        </w:rPr>
        <w:t>Néanmoins, le bilan espaces verts / espaces artificialisation, avant et après aménagement, est en faveur de l’opération si l’on prend en compte la végétalisation des jardins privés, grâce à l’inscription de zones non-aedificandi tant dans les espaces publics que privés.</w:t>
      </w:r>
    </w:p>
    <w:p>
      <w:pPr>
        <w:pStyle w:val="Normal"/>
        <w:spacing w:before="0" w:after="200"/>
        <w:ind w:left="0" w:right="51" w:hanging="0"/>
        <w:rPr>
          <w:rFonts w:ascii="Arial" w:hAnsi="Arial" w:cs="Arial"/>
          <w:color w:val="auto"/>
          <w:sz w:val="22"/>
        </w:rPr>
      </w:pPr>
      <w:r>
        <w:rPr>
          <w:rFonts w:cs="Arial" w:ascii="Arial" w:hAnsi="Arial"/>
          <w:color w:val="auto"/>
          <w:sz w:val="22"/>
        </w:rPr>
        <w:t xml:space="preserve"> </w:t>
      </w:r>
      <w:r>
        <w:rPr>
          <w:rFonts w:cs="Arial" w:ascii="Arial" w:hAnsi="Arial"/>
          <w:color w:val="auto"/>
          <w:sz w:val="22"/>
        </w:rPr>
        <w:t>Enfin, comparés à un espace privé en friche, les aménagements prévus devraient considérablement améliorer la qualité et l’usage des espaces naturels.</w:t>
      </w:r>
    </w:p>
    <w:p>
      <w:pPr>
        <w:pStyle w:val="Normal"/>
        <w:spacing w:lineRule="auto" w:line="240" w:before="0" w:after="0"/>
        <w:ind w:left="0" w:hanging="0"/>
        <w:rPr>
          <w:rFonts w:ascii="Arial" w:hAnsi="Arial" w:cs="Arial"/>
          <w:b/>
          <w:b/>
          <w:bCs/>
          <w:color w:val="auto"/>
          <w:sz w:val="22"/>
        </w:rPr>
      </w:pPr>
      <w:r>
        <w:rPr>
          <w:rFonts w:cs="Arial" w:ascii="Arial" w:hAnsi="Arial"/>
          <w:b/>
          <w:bCs/>
          <w:color w:val="auto"/>
          <w:sz w:val="22"/>
        </w:rPr>
        <w:t>On peut considérer, par conséquent, qu’il n’y aura aucune atteinte au milieu naturel ni à la santé publique, et que le projet devrait améliorer la qualité et l’usage des espaces naturels, à condition de veiller à maintenir un maximum d’arbres de haute tige.</w:t>
      </w:r>
    </w:p>
    <w:p>
      <w:pPr>
        <w:pStyle w:val="Normal"/>
        <w:spacing w:lineRule="auto" w:line="240" w:before="0" w:after="0"/>
        <w:ind w:left="0" w:hanging="0"/>
        <w:rPr>
          <w:rFonts w:ascii="Arial" w:hAnsi="Arial" w:cs="Arial"/>
          <w:b/>
          <w:b/>
          <w:bCs/>
          <w:color w:val="auto"/>
          <w:sz w:val="22"/>
        </w:rPr>
      </w:pPr>
      <w:r>
        <w:rPr>
          <w:rFonts w:cs="Arial" w:ascii="Arial" w:hAnsi="Arial"/>
          <w:b/>
          <w:bCs/>
          <w:color w:val="auto"/>
          <w:sz w:val="22"/>
        </w:rPr>
        <w:t xml:space="preserve"> </w:t>
      </w:r>
    </w:p>
    <w:p>
      <w:pPr>
        <w:pStyle w:val="Normal"/>
        <w:spacing w:lineRule="auto" w:line="240" w:before="0" w:after="0"/>
        <w:ind w:left="0" w:hanging="0"/>
        <w:rPr>
          <w:rFonts w:ascii="Arial" w:hAnsi="Arial" w:cs="Arial"/>
          <w:b/>
          <w:b/>
          <w:bCs/>
          <w:color w:val="auto"/>
          <w:sz w:val="22"/>
        </w:rPr>
      </w:pPr>
      <w:r>
        <w:rPr>
          <w:rFonts w:cs="Arial" w:ascii="Arial" w:hAnsi="Arial"/>
          <w:b/>
          <w:bCs/>
          <w:color w:val="auto"/>
          <w:sz w:val="22"/>
        </w:rPr>
      </w:r>
    </w:p>
    <w:p>
      <w:pPr>
        <w:pStyle w:val="Normal"/>
        <w:spacing w:lineRule="auto" w:line="240" w:before="0" w:after="0"/>
        <w:ind w:left="0" w:hanging="0"/>
        <w:rPr>
          <w:rFonts w:ascii="Arial" w:hAnsi="Arial" w:cs="Arial"/>
          <w:b/>
          <w:b/>
          <w:bCs/>
          <w:color w:val="auto"/>
          <w:sz w:val="22"/>
        </w:rPr>
      </w:pPr>
      <w:r>
        <w:rPr>
          <w:rFonts w:cs="Arial" w:ascii="Arial" w:hAnsi="Arial"/>
          <w:b/>
          <w:bCs/>
          <w:color w:val="auto"/>
          <w:sz w:val="22"/>
        </w:rPr>
      </w:r>
    </w:p>
    <w:p>
      <w:pPr>
        <w:pStyle w:val="Normal"/>
        <w:spacing w:lineRule="auto" w:line="259" w:before="0" w:after="0"/>
        <w:ind w:left="0" w:hanging="0"/>
        <w:rPr>
          <w:rFonts w:ascii="Arial" w:hAnsi="Arial" w:cs="Arial"/>
          <w:color w:val="auto"/>
          <w:sz w:val="22"/>
        </w:rPr>
      </w:pPr>
      <w:r>
        <w:rPr>
          <w:rFonts w:cs="Arial" w:ascii="Arial" w:hAnsi="Arial"/>
          <w:color w:val="auto"/>
          <w:sz w:val="22"/>
        </w:rPr>
        <w:t xml:space="preserve"> </w:t>
      </w:r>
      <w:r>
        <w:rPr>
          <w:rFonts w:cs="Arial" w:ascii="Arial" w:hAnsi="Arial"/>
          <w:b/>
          <w:bCs/>
          <w:color w:val="auto"/>
          <w:sz w:val="22"/>
        </w:rPr>
        <w:t>EN CONCLUSION,</w:t>
      </w:r>
    </w:p>
    <w:p>
      <w:pPr>
        <w:pStyle w:val="Normal"/>
        <w:spacing w:lineRule="auto" w:line="259" w:before="0" w:after="0"/>
        <w:ind w:left="0" w:hanging="0"/>
        <w:rPr>
          <w:rFonts w:ascii="Arial" w:hAnsi="Arial" w:cs="Arial"/>
          <w:color w:val="auto"/>
          <w:sz w:val="22"/>
        </w:rPr>
      </w:pPr>
      <w:r>
        <w:rPr>
          <w:rFonts w:cs="Arial" w:ascii="Arial" w:hAnsi="Arial"/>
          <w:color w:val="auto"/>
          <w:sz w:val="22"/>
        </w:rPr>
      </w:r>
    </w:p>
    <w:p>
      <w:pPr>
        <w:pStyle w:val="Normal"/>
        <w:spacing w:lineRule="auto" w:line="259" w:before="0" w:after="0"/>
        <w:ind w:left="17" w:hanging="0"/>
        <w:rPr>
          <w:rFonts w:ascii="Arial" w:hAnsi="Arial" w:cs="Arial"/>
          <w:color w:val="auto"/>
          <w:sz w:val="22"/>
        </w:rPr>
      </w:pPr>
      <w:r>
        <w:rPr>
          <w:rFonts w:cs="Arial" w:ascii="Arial" w:hAnsi="Arial"/>
          <w:color w:val="auto"/>
          <w:sz w:val="22"/>
        </w:rPr>
        <w:t>au vu des éléments qui précèdent, considérant :</w:t>
      </w:r>
    </w:p>
    <w:p>
      <w:pPr>
        <w:pStyle w:val="Normal"/>
        <w:spacing w:lineRule="auto" w:line="259" w:before="0" w:after="0"/>
        <w:ind w:left="17" w:hanging="0"/>
        <w:rPr>
          <w:rFonts w:ascii="Arial" w:hAnsi="Arial" w:cs="Arial"/>
          <w:color w:val="auto"/>
          <w:sz w:val="22"/>
        </w:rPr>
      </w:pPr>
      <w:r>
        <w:rPr>
          <w:rFonts w:cs="Arial" w:ascii="Arial" w:hAnsi="Arial"/>
          <w:color w:val="auto"/>
          <w:sz w:val="22"/>
        </w:rPr>
      </w:r>
    </w:p>
    <w:p>
      <w:pPr>
        <w:pStyle w:val="ListParagraph"/>
        <w:numPr>
          <w:ilvl w:val="0"/>
          <w:numId w:val="34"/>
        </w:numPr>
        <w:spacing w:lineRule="auto" w:line="259" w:before="0" w:after="0"/>
        <w:ind w:left="377" w:hanging="360"/>
        <w:contextualSpacing/>
        <w:jc w:val="both"/>
        <w:rPr>
          <w:rFonts w:ascii="Arial" w:hAnsi="Arial" w:cs="Arial"/>
          <w:color w:val="auto"/>
          <w:sz w:val="22"/>
        </w:rPr>
      </w:pPr>
      <w:r>
        <w:rPr>
          <w:rFonts w:cs="Arial" w:ascii="Arial" w:hAnsi="Arial"/>
          <w:color w:val="auto"/>
          <w:sz w:val="22"/>
        </w:rPr>
        <w:t>que les objectifs visés par le dossier et poursuivis par la commune peuvent être considérés d'utilité publique,</w:t>
      </w:r>
    </w:p>
    <w:p>
      <w:pPr>
        <w:pStyle w:val="ListParagraph"/>
        <w:spacing w:lineRule="auto" w:line="259" w:before="0" w:after="0"/>
        <w:ind w:left="377" w:hanging="0"/>
        <w:contextualSpacing/>
        <w:rPr>
          <w:rFonts w:ascii="Arial" w:hAnsi="Arial" w:cs="Arial"/>
          <w:color w:val="auto"/>
          <w:sz w:val="22"/>
        </w:rPr>
      </w:pPr>
      <w:r>
        <w:rPr>
          <w:rFonts w:cs="Arial" w:ascii="Arial" w:hAnsi="Arial"/>
          <w:color w:val="auto"/>
          <w:sz w:val="22"/>
        </w:rPr>
      </w:r>
    </w:p>
    <w:p>
      <w:pPr>
        <w:pStyle w:val="ListParagraph"/>
        <w:numPr>
          <w:ilvl w:val="0"/>
          <w:numId w:val="34"/>
        </w:numPr>
        <w:spacing w:lineRule="auto" w:line="259" w:before="0" w:after="0"/>
        <w:ind w:left="377" w:hanging="360"/>
        <w:contextualSpacing/>
        <w:jc w:val="both"/>
        <w:rPr>
          <w:rFonts w:ascii="Arial" w:hAnsi="Arial" w:cs="Arial"/>
          <w:color w:val="auto"/>
          <w:sz w:val="22"/>
        </w:rPr>
      </w:pPr>
      <w:r>
        <w:rPr>
          <w:rFonts w:cs="Arial" w:ascii="Arial" w:hAnsi="Arial"/>
          <w:color w:val="auto"/>
          <w:sz w:val="22"/>
        </w:rPr>
        <w:t>qu'au vu des chiffres annoncés le coût financier de l'opération pour la commune semble supportable,</w:t>
      </w:r>
    </w:p>
    <w:p>
      <w:pPr>
        <w:pStyle w:val="Normal"/>
        <w:spacing w:lineRule="auto" w:line="259" w:before="0" w:after="0"/>
        <w:ind w:left="0" w:hanging="0"/>
        <w:rPr>
          <w:rFonts w:ascii="Arial" w:hAnsi="Arial" w:cs="Arial"/>
          <w:color w:val="auto"/>
          <w:sz w:val="22"/>
        </w:rPr>
      </w:pPr>
      <w:r>
        <w:rPr>
          <w:rFonts w:cs="Arial" w:ascii="Arial" w:hAnsi="Arial"/>
          <w:color w:val="auto"/>
          <w:sz w:val="22"/>
        </w:rPr>
      </w:r>
    </w:p>
    <w:p>
      <w:pPr>
        <w:pStyle w:val="ListParagraph"/>
        <w:numPr>
          <w:ilvl w:val="0"/>
          <w:numId w:val="34"/>
        </w:numPr>
        <w:spacing w:lineRule="auto" w:line="259" w:before="0" w:after="0"/>
        <w:ind w:left="377" w:hanging="360"/>
        <w:contextualSpacing/>
        <w:jc w:val="both"/>
        <w:rPr>
          <w:rFonts w:ascii="Arial" w:hAnsi="Arial" w:cs="Arial"/>
          <w:color w:val="auto"/>
          <w:sz w:val="22"/>
        </w:rPr>
      </w:pPr>
      <w:r>
        <w:rPr>
          <w:rFonts w:cs="Arial" w:ascii="Arial" w:hAnsi="Arial"/>
          <w:color w:val="auto"/>
          <w:sz w:val="22"/>
        </w:rPr>
        <w:t xml:space="preserve">que les trois expropriations envisagées sont nécessaires pour atteindre les dits objectifs visés par le projet mis à l'enquête, </w:t>
      </w:r>
    </w:p>
    <w:p>
      <w:pPr>
        <w:pStyle w:val="Normal"/>
        <w:spacing w:lineRule="auto" w:line="259" w:before="0" w:after="0"/>
        <w:ind w:left="0" w:hanging="0"/>
        <w:rPr>
          <w:rFonts w:ascii="Arial" w:hAnsi="Arial" w:cs="Arial"/>
          <w:color w:val="auto"/>
          <w:sz w:val="22"/>
        </w:rPr>
      </w:pPr>
      <w:r>
        <w:rPr>
          <w:rFonts w:cs="Arial" w:ascii="Arial" w:hAnsi="Arial"/>
          <w:color w:val="auto"/>
          <w:sz w:val="22"/>
        </w:rPr>
      </w:r>
    </w:p>
    <w:p>
      <w:pPr>
        <w:pStyle w:val="Normal"/>
        <w:spacing w:lineRule="auto" w:line="259" w:before="0" w:after="0"/>
        <w:rPr>
          <w:rFonts w:ascii="Arial" w:hAnsi="Arial" w:cs="Arial"/>
          <w:color w:val="auto"/>
          <w:sz w:val="22"/>
        </w:rPr>
      </w:pPr>
      <w:r>
        <w:rPr>
          <w:rFonts w:cs="Arial" w:ascii="Arial" w:hAnsi="Arial"/>
          <w:color w:val="auto"/>
          <w:sz w:val="22"/>
        </w:rPr>
      </w:r>
    </w:p>
    <w:p>
      <w:pPr>
        <w:pStyle w:val="Normal"/>
        <w:spacing w:lineRule="auto" w:line="259" w:before="0" w:after="0"/>
        <w:rPr>
          <w:rFonts w:ascii="Arial" w:hAnsi="Arial" w:cs="Arial"/>
          <w:color w:val="auto"/>
          <w:sz w:val="22"/>
        </w:rPr>
      </w:pPr>
      <w:r>
        <w:rPr>
          <w:rFonts w:cs="Arial" w:ascii="Arial" w:hAnsi="Arial"/>
          <w:color w:val="auto"/>
          <w:sz w:val="22"/>
        </w:rPr>
        <w:t>Je considère que les avantages que présente le projet d’acquisition en vue du projet de lotissement dit « des Jasmins » l’emporte sur les inconvénients qu’ils génèrent.</w:t>
      </w:r>
    </w:p>
    <w:p>
      <w:pPr>
        <w:pStyle w:val="Normal"/>
        <w:spacing w:lineRule="auto" w:line="259" w:before="0" w:after="0"/>
        <w:rPr>
          <w:rFonts w:ascii="Arial" w:hAnsi="Arial" w:cs="Arial"/>
          <w:color w:val="auto"/>
          <w:sz w:val="22"/>
        </w:rPr>
      </w:pPr>
      <w:r>
        <w:rPr>
          <w:rFonts w:cs="Arial" w:ascii="Arial" w:hAnsi="Arial"/>
          <w:color w:val="auto"/>
          <w:sz w:val="22"/>
        </w:rPr>
      </w:r>
    </w:p>
    <w:p>
      <w:pPr>
        <w:pStyle w:val="Normal"/>
        <w:spacing w:lineRule="auto" w:line="259" w:before="0" w:after="0"/>
        <w:rPr>
          <w:rFonts w:ascii="Arial" w:hAnsi="Arial" w:cs="Arial"/>
          <w:color w:val="auto"/>
          <w:sz w:val="22"/>
        </w:rPr>
      </w:pPr>
      <w:r>
        <w:rPr>
          <w:rFonts w:cs="Arial" w:ascii="Arial" w:hAnsi="Arial"/>
          <w:color w:val="auto"/>
          <w:sz w:val="22"/>
        </w:rPr>
        <w:t>En conséquence de ce qui précède et des éléments exposés dans l’ensemble du rapport principal, j’émets un :</w:t>
      </w:r>
    </w:p>
    <w:p>
      <w:pPr>
        <w:pStyle w:val="Normal"/>
        <w:spacing w:lineRule="auto" w:line="259" w:before="0" w:after="0"/>
        <w:rPr>
          <w:rFonts w:ascii="Arial" w:hAnsi="Arial" w:cs="Arial"/>
          <w:color w:val="auto"/>
          <w:sz w:val="22"/>
        </w:rPr>
      </w:pPr>
      <w:r>
        <w:rPr>
          <w:rFonts w:cs="Arial" w:ascii="Arial" w:hAnsi="Arial"/>
          <w:color w:val="auto"/>
          <w:sz w:val="22"/>
        </w:rPr>
      </w:r>
    </w:p>
    <w:p>
      <w:pPr>
        <w:pStyle w:val="Normal"/>
        <w:spacing w:lineRule="auto" w:line="259" w:before="0" w:after="0"/>
        <w:rPr>
          <w:rFonts w:ascii="Arial" w:hAnsi="Arial" w:cs="Arial"/>
          <w:b/>
          <w:b/>
          <w:bCs/>
          <w:color w:val="auto"/>
          <w:sz w:val="22"/>
        </w:rPr>
      </w:pPr>
      <w:r>
        <w:rPr>
          <w:rFonts w:cs="Arial" w:ascii="Arial" w:hAnsi="Arial"/>
          <w:b/>
          <w:bCs/>
          <w:color w:val="auto"/>
          <w:sz w:val="22"/>
        </w:rPr>
        <w:t>AVIS FAVORABLE</w:t>
      </w:r>
    </w:p>
    <w:p>
      <w:pPr>
        <w:pStyle w:val="Normal"/>
        <w:spacing w:lineRule="auto" w:line="259" w:before="0" w:after="0"/>
        <w:rPr>
          <w:rFonts w:ascii="Arial" w:hAnsi="Arial" w:cs="Arial"/>
          <w:color w:val="auto"/>
          <w:sz w:val="22"/>
        </w:rPr>
      </w:pPr>
      <w:r>
        <w:rPr>
          <w:rFonts w:cs="Arial" w:ascii="Arial" w:hAnsi="Arial"/>
          <w:color w:val="auto"/>
          <w:sz w:val="22"/>
        </w:rPr>
      </w:r>
    </w:p>
    <w:p>
      <w:pPr>
        <w:pStyle w:val="Normal"/>
        <w:spacing w:lineRule="auto" w:line="259" w:before="0" w:after="0"/>
        <w:rPr>
          <w:rFonts w:ascii="Arial" w:hAnsi="Arial" w:cs="Arial"/>
          <w:color w:val="auto"/>
          <w:sz w:val="22"/>
        </w:rPr>
      </w:pPr>
      <w:r>
        <w:rPr>
          <w:rFonts w:cs="Arial" w:ascii="Arial" w:hAnsi="Arial"/>
          <w:color w:val="auto"/>
          <w:sz w:val="22"/>
        </w:rPr>
        <w:t>à la déclaration d’utilité publique sollicitée par la Commune de GONESSE relative à l’acquisition en vue du projet de lotissement dit « des Jasmins »</w:t>
      </w:r>
    </w:p>
    <w:p>
      <w:pPr>
        <w:pStyle w:val="Normal"/>
        <w:spacing w:lineRule="auto" w:line="259" w:before="0" w:after="0"/>
        <w:ind w:left="0" w:hanging="0"/>
        <w:rPr>
          <w:rFonts w:ascii="Arial" w:hAnsi="Arial" w:cs="Arial"/>
          <w:color w:val="auto"/>
          <w:sz w:val="22"/>
        </w:rPr>
      </w:pPr>
      <w:r>
        <w:rPr>
          <w:rFonts w:cs="Arial" w:ascii="Arial" w:hAnsi="Arial"/>
          <w:color w:val="auto"/>
          <w:sz w:val="22"/>
        </w:rPr>
      </w:r>
    </w:p>
    <w:p>
      <w:pPr>
        <w:pStyle w:val="Normal"/>
        <w:spacing w:lineRule="auto" w:line="259" w:before="0" w:after="0"/>
        <w:rPr>
          <w:rFonts w:ascii="Arial" w:hAnsi="Arial" w:cs="Arial"/>
          <w:b/>
          <w:b/>
          <w:bCs/>
          <w:color w:val="auto"/>
          <w:sz w:val="22"/>
        </w:rPr>
      </w:pPr>
      <w:r>
        <w:rPr>
          <w:rFonts w:cs="Arial" w:ascii="Arial" w:hAnsi="Arial"/>
          <w:b/>
          <w:bCs/>
          <w:color w:val="auto"/>
          <w:sz w:val="22"/>
        </w:rPr>
        <w:t xml:space="preserve">Assorti des Recommandations suivantes : </w:t>
      </w:r>
    </w:p>
    <w:p>
      <w:pPr>
        <w:pStyle w:val="Normal"/>
        <w:spacing w:lineRule="auto" w:line="259" w:before="0" w:after="0"/>
        <w:rPr>
          <w:rFonts w:ascii="Arial" w:hAnsi="Arial" w:cs="Arial"/>
          <w:b/>
          <w:b/>
          <w:bCs/>
          <w:color w:val="auto"/>
          <w:sz w:val="22"/>
        </w:rPr>
      </w:pPr>
      <w:r>
        <w:rPr>
          <w:rFonts w:cs="Arial" w:ascii="Arial" w:hAnsi="Arial"/>
          <w:b/>
          <w:bCs/>
          <w:color w:val="auto"/>
          <w:sz w:val="22"/>
        </w:rPr>
      </w:r>
    </w:p>
    <w:p>
      <w:pPr>
        <w:pStyle w:val="ListParagraph"/>
        <w:numPr>
          <w:ilvl w:val="0"/>
          <w:numId w:val="36"/>
        </w:numPr>
        <w:spacing w:lineRule="auto" w:line="259" w:before="0" w:after="0"/>
        <w:contextualSpacing/>
        <w:rPr>
          <w:rFonts w:ascii="Arial" w:hAnsi="Arial" w:cs="Arial"/>
          <w:b/>
          <w:b/>
          <w:bCs/>
          <w:color w:val="auto"/>
          <w:sz w:val="22"/>
        </w:rPr>
      </w:pPr>
      <w:r>
        <w:rPr>
          <w:rFonts w:cs="Arial" w:ascii="Arial" w:hAnsi="Arial"/>
          <w:b/>
          <w:bCs/>
          <w:color w:val="auto"/>
          <w:sz w:val="22"/>
        </w:rPr>
        <w:t>Actualiser la dernière évaluation du service des Domaines qui date de plus d’un an,</w:t>
      </w:r>
    </w:p>
    <w:p>
      <w:pPr>
        <w:pStyle w:val="ListParagraph"/>
        <w:numPr>
          <w:ilvl w:val="0"/>
          <w:numId w:val="36"/>
        </w:numPr>
        <w:spacing w:lineRule="auto" w:line="259" w:before="0" w:after="0"/>
        <w:contextualSpacing/>
        <w:rPr>
          <w:rFonts w:ascii="Arial" w:hAnsi="Arial" w:cs="Arial"/>
          <w:b/>
          <w:b/>
          <w:bCs/>
          <w:color w:val="auto"/>
          <w:sz w:val="22"/>
        </w:rPr>
      </w:pPr>
      <w:r>
        <w:rPr>
          <w:rFonts w:cs="Arial" w:ascii="Arial" w:hAnsi="Arial"/>
          <w:b/>
          <w:bCs/>
          <w:color w:val="auto"/>
          <w:sz w:val="22"/>
        </w:rPr>
        <w:t xml:space="preserve">Veiller à préserver un maximum d’arbres de hautes tiges, à remplacer ceux qui devraient être abattus en raison des aménagements ou de leur état sanitaire, et à demander la plantation d’arbres de haute tige dans les zones non aedificandi prévues sur les terrains mis en vente, en particulier en fond de parcelles le long des voies de circulation. </w:t>
      </w:r>
    </w:p>
    <w:p>
      <w:pPr>
        <w:pStyle w:val="Normal"/>
        <w:spacing w:lineRule="auto" w:line="259" w:before="0" w:after="0"/>
        <w:rPr>
          <w:rFonts w:ascii="Arial" w:hAnsi="Arial" w:cs="Arial"/>
          <w:color w:val="4472C4" w:themeColor="accent1"/>
          <w:sz w:val="22"/>
        </w:rPr>
      </w:pPr>
      <w:r>
        <w:rPr>
          <w:rFonts w:cs="Arial" w:ascii="Arial" w:hAnsi="Arial"/>
          <w:color w:val="4472C4" w:themeColor="accent1"/>
          <w:sz w:val="22"/>
        </w:rPr>
      </w:r>
    </w:p>
    <w:p>
      <w:pPr>
        <w:pStyle w:val="Normal"/>
        <w:spacing w:lineRule="auto" w:line="259" w:before="0" w:after="105"/>
        <w:ind w:left="0" w:hanging="0"/>
        <w:jc w:val="right"/>
        <w:rPr>
          <w:color w:val="1F3864" w:themeColor="accent1" w:themeShade="80"/>
        </w:rPr>
      </w:pPr>
      <w:r>
        <w:rPr>
          <w:color w:val="1F3864" w:themeColor="accent1" w:themeShade="80"/>
        </w:rPr>
        <w:t xml:space="preserve"> </w:t>
      </w:r>
    </w:p>
    <w:p>
      <w:pPr>
        <w:pStyle w:val="Normal"/>
        <w:spacing w:lineRule="auto" w:line="259" w:before="0" w:after="158"/>
        <w:ind w:left="17" w:hanging="0"/>
        <w:rPr>
          <w:rFonts w:ascii="Arial" w:hAnsi="Arial" w:cs="Arial"/>
          <w:b/>
          <w:b/>
          <w:bCs/>
          <w:sz w:val="22"/>
        </w:rPr>
      </w:pPr>
      <w:r>
        <w:rPr>
          <w:rFonts w:cs="Arial" w:ascii="Arial" w:hAnsi="Arial"/>
          <w:b/>
          <w:bCs/>
          <w:sz w:val="22"/>
        </w:rPr>
        <w:t>Fait le 12 mars 2024</w:t>
      </w:r>
    </w:p>
    <w:p>
      <w:pPr>
        <w:pStyle w:val="Normal"/>
        <w:spacing w:lineRule="auto" w:line="259" w:before="0" w:after="158"/>
        <w:ind w:left="17" w:hanging="0"/>
        <w:rPr>
          <w:rFonts w:ascii="Arial" w:hAnsi="Arial" w:cs="Arial"/>
          <w:b/>
          <w:b/>
          <w:bCs/>
          <w:sz w:val="22"/>
        </w:rPr>
      </w:pPr>
      <w:r>
        <w:rPr>
          <w:rFonts w:cs="Arial" w:ascii="Arial" w:hAnsi="Arial"/>
          <w:b/>
          <w:bCs/>
          <w:sz w:val="22"/>
        </w:rPr>
        <w:t>Le commissaire enquêteur,</w:t>
      </w:r>
    </w:p>
    <w:p>
      <w:pPr>
        <w:pStyle w:val="Normal"/>
        <w:spacing w:lineRule="auto" w:line="259" w:before="0" w:after="158"/>
        <w:ind w:left="17" w:hanging="0"/>
        <w:rPr>
          <w:rFonts w:ascii="Arial" w:hAnsi="Arial" w:cs="Arial"/>
          <w:b/>
          <w:b/>
          <w:bCs/>
          <w:sz w:val="22"/>
        </w:rPr>
      </w:pPr>
      <w:r>
        <w:rPr/>
        <w:drawing>
          <wp:inline distT="0" distB="0" distL="0" distR="0">
            <wp:extent cx="2380615" cy="1206500"/>
            <wp:effectExtent l="0" t="0" r="0" b="0"/>
            <wp:docPr id="35" name="Image6" descr="Une image contenant écriture manuscrite, texte, Police, Dessin d’enf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6" descr="Une image contenant écriture manuscrite, texte, Police, Dessin d’enfant&#10;&#10;Description générée automatiquement"/>
                    <pic:cNvPicPr>
                      <a:picLocks noChangeAspect="1" noChangeArrowheads="1"/>
                    </pic:cNvPicPr>
                  </pic:nvPicPr>
                  <pic:blipFill>
                    <a:blip r:embed="rId29"/>
                    <a:stretch>
                      <a:fillRect/>
                    </a:stretch>
                  </pic:blipFill>
                  <pic:spPr bwMode="auto">
                    <a:xfrm>
                      <a:off x="0" y="0"/>
                      <a:ext cx="2380615" cy="1206500"/>
                    </a:xfrm>
                    <a:prstGeom prst="rect">
                      <a:avLst/>
                    </a:prstGeom>
                  </pic:spPr>
                </pic:pic>
              </a:graphicData>
            </a:graphic>
          </wp:inline>
        </w:drawing>
      </w:r>
    </w:p>
    <w:p>
      <w:pPr>
        <w:pStyle w:val="Normal"/>
        <w:spacing w:lineRule="auto" w:line="259" w:before="0" w:after="0"/>
        <w:ind w:left="0" w:hanging="0"/>
        <w:rPr>
          <w:rFonts w:ascii="Arial" w:hAnsi="Arial" w:eastAsia="Times New Roman" w:cs="Arial"/>
          <w:b/>
          <w:b/>
          <w:bCs/>
          <w:sz w:val="22"/>
        </w:rPr>
      </w:pPr>
      <w:r>
        <w:rPr>
          <w:rFonts w:eastAsia="Times New Roman" w:cs="Arial" w:ascii="Arial" w:hAnsi="Arial"/>
          <w:b/>
          <w:bCs/>
          <w:sz w:val="22"/>
        </w:rPr>
        <w:t xml:space="preserve">        </w:t>
      </w:r>
      <w:r>
        <w:rPr>
          <w:rFonts w:eastAsia="Times New Roman" w:cs="Arial" w:ascii="Arial" w:hAnsi="Arial"/>
          <w:b/>
          <w:bCs/>
          <w:sz w:val="22"/>
        </w:rPr>
        <w:t>Eric SEYNAVE</w:t>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54" w:before="0" w:after="155"/>
        <w:ind w:left="0" w:right="861" w:hanging="0"/>
        <w:jc w:val="center"/>
        <w:rPr>
          <w:rFonts w:ascii="Arial" w:hAnsi="Arial" w:cs="Arial"/>
          <w:b/>
          <w:b/>
          <w:bCs/>
        </w:rPr>
      </w:pPr>
      <w:r>
        <w:rPr>
          <w:rFonts w:cs="Arial" w:ascii="Arial" w:hAnsi="Arial"/>
          <w:b/>
          <w:bCs/>
        </w:rPr>
        <w:t>Chapitre III– Conclusion et avis Parcellaire</w:t>
      </w:r>
    </w:p>
    <w:p>
      <w:pPr>
        <w:pStyle w:val="Normal"/>
        <w:spacing w:lineRule="auto" w:line="259" w:before="0" w:after="0"/>
        <w:ind w:left="0" w:hanging="0"/>
        <w:rPr>
          <w:rFonts w:ascii="Arial" w:hAnsi="Arial" w:eastAsia="Times New Roman" w:cs="Arial"/>
          <w:sz w:val="22"/>
        </w:rPr>
      </w:pPr>
      <w:r>
        <w:rPr>
          <w:rFonts w:eastAsia="Times New Roman" w:cs="Arial" w:ascii="Arial" w:hAnsi="Arial"/>
          <w:sz w:val="22"/>
        </w:rPr>
      </w:r>
    </w:p>
    <w:p>
      <w:pPr>
        <w:pStyle w:val="Normal"/>
        <w:spacing w:lineRule="auto" w:line="268" w:before="0" w:after="0"/>
        <w:rPr>
          <w:rFonts w:ascii="Arial" w:hAnsi="Arial" w:eastAsia="Times New Roman" w:cs="Arial"/>
          <w:b/>
          <w:b/>
          <w:bCs/>
          <w:sz w:val="22"/>
        </w:rPr>
      </w:pPr>
      <w:r>
        <w:rPr>
          <w:rFonts w:eastAsia="Times New Roman" w:cs="Arial" w:ascii="Arial" w:hAnsi="Arial"/>
          <w:b/>
          <w:bCs/>
          <w:sz w:val="22"/>
        </w:rPr>
        <w:t>Rappel du projet</w:t>
      </w:r>
    </w:p>
    <w:p>
      <w:pPr>
        <w:pStyle w:val="Normal"/>
        <w:spacing w:lineRule="auto" w:line="259" w:before="0" w:after="0"/>
        <w:ind w:left="0" w:hanging="0"/>
        <w:rPr>
          <w:rFonts w:ascii="Times New Roman" w:hAnsi="Times New Roman" w:eastAsia="Times New Roman" w:cs="Times New Roman"/>
        </w:rPr>
      </w:pPr>
      <w:r>
        <w:rPr>
          <w:rFonts w:eastAsia="Times New Roman" w:cs="Times New Roman" w:ascii="Times New Roman" w:hAnsi="Times New Roman"/>
        </w:rPr>
      </w:r>
    </w:p>
    <w:p>
      <w:pPr>
        <w:pStyle w:val="Normal"/>
        <w:ind w:left="12" w:right="51" w:hanging="10"/>
        <w:rPr>
          <w:rFonts w:ascii="Arial" w:hAnsi="Arial" w:cs="Arial"/>
          <w:sz w:val="22"/>
        </w:rPr>
      </w:pPr>
      <w:r>
        <w:rPr>
          <w:rFonts w:cs="Arial" w:ascii="Arial" w:hAnsi="Arial"/>
          <w:sz w:val="22"/>
        </w:rPr>
        <w:t xml:space="preserve">La commune de GONESSE a demandé l’ouverture d’une enquête publique conjointe préalable à la déclaration d’utilité publique (DUP) et parcellaire relative au projet de réalisation d’un lotissement </w:t>
      </w:r>
      <w:r>
        <w:rPr>
          <w:rFonts w:cs="Arial" w:ascii="Arial" w:hAnsi="Arial"/>
          <w:bCs/>
          <w:sz w:val="22"/>
        </w:rPr>
        <w:t>dit « des Jasmins » d’habitat individuel groupé de 20 lots à bâtir et d’espaces publics aménagés sur des délaissés fonciers.</w:t>
      </w:r>
    </w:p>
    <w:p>
      <w:pPr>
        <w:pStyle w:val="Normal"/>
        <w:ind w:left="31" w:right="51" w:hanging="10"/>
        <w:rPr>
          <w:rFonts w:ascii="Arial" w:hAnsi="Arial" w:cs="Arial"/>
          <w:sz w:val="22"/>
        </w:rPr>
      </w:pPr>
      <w:r>
        <w:rPr>
          <w:rFonts w:cs="Arial" w:ascii="Arial" w:hAnsi="Arial"/>
          <w:sz w:val="22"/>
        </w:rPr>
        <w:t>La commune de Gonesse n’étant pas propriétaire de la totalité du terrain d’assiette devant être déclaré d’utilité publique, le recours à l’expropriation s’avère nécessaire en vue d’acquérir en totalité ou en partie les parcelles cadastrées AD n°865, 866, 867, 869, 885, 886 (espaces verts) et 888 (voirie). Il s’agit en fait de plusieurs lots de copropriété indivise qui, ajoutés aux parcelles dont la commune est déjà propriétaire, permettront la réalisation de ce lotissement.</w:t>
      </w:r>
    </w:p>
    <w:p>
      <w:pPr>
        <w:pStyle w:val="Titre3"/>
        <w:rPr>
          <w:rFonts w:ascii="Arial" w:hAnsi="Arial" w:cs="Arial"/>
          <w:b w:val="false"/>
          <w:b w:val="false"/>
          <w:bCs/>
          <w:color w:val="auto"/>
          <w:sz w:val="22"/>
          <w:u w:val="none"/>
        </w:rPr>
      </w:pPr>
      <w:r>
        <w:rPr>
          <w:rFonts w:cs="Arial" w:ascii="Arial" w:hAnsi="Arial"/>
          <w:b w:val="false"/>
          <w:bCs/>
          <w:color w:val="auto"/>
          <w:sz w:val="22"/>
          <w:u w:val="none"/>
        </w:rPr>
        <w:t xml:space="preserve">Le projet d’expropriation, a donc pour objectif la création d’un lotissement, dit « des Jasmins », de 20 lots à bâtir destinés à l’accueil de maisons individuelles à coût maîtrisé en accession libre à la propriété, d’une aire de jeux, d’un terrain de pétanque et de places de stationnement publiques. </w:t>
      </w:r>
    </w:p>
    <w:p>
      <w:pPr>
        <w:pStyle w:val="Titre3"/>
        <w:rPr>
          <w:rFonts w:ascii="Arial" w:hAnsi="Arial" w:cs="Arial"/>
          <w:b w:val="false"/>
          <w:b w:val="false"/>
          <w:bCs/>
          <w:color w:val="auto"/>
          <w:sz w:val="22"/>
          <w:u w:val="none"/>
        </w:rPr>
      </w:pPr>
      <w:r>
        <w:rPr>
          <w:rFonts w:cs="Arial" w:ascii="Arial" w:hAnsi="Arial"/>
          <w:b w:val="false"/>
          <w:bCs/>
          <w:color w:val="auto"/>
          <w:sz w:val="22"/>
          <w:u w:val="none"/>
        </w:rPr>
        <w:t>Cette opération s’inscrit dans les objectifs de la politique locale de l’habitat, car la création de foncier à coût maîtrisé doit permettre l’amélioration et la diversification de l’offre de logements.</w:t>
      </w:r>
    </w:p>
    <w:p>
      <w:pPr>
        <w:pStyle w:val="Normal"/>
        <w:ind w:left="17" w:hanging="0"/>
        <w:rPr>
          <w:rFonts w:ascii="Arial" w:hAnsi="Arial" w:cs="Arial"/>
          <w:sz w:val="22"/>
        </w:rPr>
      </w:pPr>
      <w:r>
        <w:rPr>
          <w:rFonts w:cs="Arial" w:ascii="Arial" w:hAnsi="Arial"/>
          <w:color w:val="auto"/>
          <w:sz w:val="22"/>
        </w:rPr>
        <w:t>Cet objectif est inscrit depuis 2017 dans le Projet d’Aménagement et de Développement Durable du Plan Local d’Urbanisme en vigueur</w:t>
      </w:r>
      <w:r>
        <w:rPr>
          <w:rFonts w:cs="Arial" w:ascii="Arial" w:hAnsi="Arial"/>
          <w:sz w:val="22"/>
        </w:rPr>
        <w:t xml:space="preserve"> et fait l’objet d’un zonage spécifique.</w:t>
      </w:r>
    </w:p>
    <w:p>
      <w:pPr>
        <w:pStyle w:val="Normal"/>
        <w:rPr>
          <w:rFonts w:ascii="Arial" w:hAnsi="Arial" w:cs="Arial"/>
          <w:sz w:val="22"/>
        </w:rPr>
      </w:pPr>
      <w:r>
        <w:rPr>
          <w:rFonts w:cs="Arial" w:ascii="Arial" w:hAnsi="Arial"/>
          <w:sz w:val="22"/>
        </w:rPr>
        <w:t>Les terrains concernés par la procédure d’expropriation sont issus des espaces communs délaissés d’un groupe d’habitation</w:t>
      </w:r>
      <w:r>
        <w:rPr>
          <w:rFonts w:ascii="Arial" w:hAnsi="Arial"/>
          <w:sz w:val="22"/>
        </w:rPr>
        <w:t xml:space="preserve"> </w:t>
      </w:r>
      <w:r>
        <w:rPr>
          <w:rFonts w:cs="Arial" w:ascii="Arial" w:hAnsi="Arial"/>
          <w:sz w:val="22"/>
        </w:rPr>
        <w:t>comprenant un immeuble de 32 appartements (ainsi que 32 caves, locaux communs et cours) et 28 pavillons individuels. Cette opération a été réalisée en 1967 par la Société Parisienne d’Etudes et de Recherche Foncière (SOPEREF). Une Association Syndicale Libre dénommée « </w:t>
      </w:r>
      <w:r>
        <w:rPr>
          <w:rFonts w:cs="Arial" w:ascii="Arial" w:hAnsi="Arial"/>
          <w:i/>
          <w:iCs/>
          <w:sz w:val="22"/>
        </w:rPr>
        <w:t>ASL Claire Vallée</w:t>
      </w:r>
      <w:r>
        <w:rPr>
          <w:rFonts w:cs="Arial" w:ascii="Arial" w:hAnsi="Arial"/>
          <w:sz w:val="22"/>
        </w:rPr>
        <w:t xml:space="preserve"> » a été créée afin d’administrer les équipements communs placés sous le régime de l’indivision forcée. </w:t>
      </w:r>
    </w:p>
    <w:p>
      <w:pPr>
        <w:pStyle w:val="Normal"/>
        <w:rPr>
          <w:rFonts w:ascii="Arial" w:hAnsi="Arial" w:cs="Arial"/>
          <w:sz w:val="22"/>
        </w:rPr>
      </w:pPr>
      <w:r>
        <w:rPr>
          <w:rFonts w:cs="Arial" w:ascii="Arial" w:hAnsi="Arial"/>
          <w:sz w:val="22"/>
        </w:rPr>
        <w:t>Ces parcelles sont donc restées appartenir aux 60 propriétaires du groupe d’habitations, lesquels sont tous membres de droit de l’ASL Claire Vallée. Avec le temps, l’entretien de ces équipements est devenu de plus en plus difficile compte tenu du niveau de charge qui en résulte et ces terrains sont aujourd’hui délaissés et réduits à l’état de friches, inutilisables par les habitants.</w:t>
      </w:r>
    </w:p>
    <w:p>
      <w:pPr>
        <w:pStyle w:val="Normal"/>
        <w:rPr>
          <w:rFonts w:ascii="Arial" w:hAnsi="Arial" w:cs="Arial"/>
          <w:sz w:val="22"/>
        </w:rPr>
      </w:pPr>
      <w:r>
        <w:rPr>
          <w:rFonts w:cs="Arial" w:ascii="Arial" w:hAnsi="Arial"/>
          <w:sz w:val="22"/>
        </w:rPr>
        <w:t xml:space="preserve">En 2017, la ville de GONESSE a proposé aux membres de l’ASL </w:t>
      </w:r>
      <w:r>
        <w:rPr>
          <w:rFonts w:cs="Arial" w:ascii="Arial" w:hAnsi="Arial"/>
          <w:i/>
          <w:iCs/>
          <w:sz w:val="22"/>
        </w:rPr>
        <w:t xml:space="preserve">« Claire Vallée », </w:t>
      </w:r>
      <w:r>
        <w:rPr>
          <w:rFonts w:cs="Arial" w:ascii="Arial" w:hAnsi="Arial"/>
          <w:sz w:val="22"/>
        </w:rPr>
        <w:t>dans le cadre de l’assemblée générale du 29 juin 2017, l’acquisition des parcelles concernées pour un prix de 230 000 €. Cette proposition a fait l’objet d’une délibération qui a été acceptée par 45 des propriétaires indivis présents sur 46, qui représentaient 76496 sur 100 00 tantièmes.</w:t>
      </w:r>
    </w:p>
    <w:p>
      <w:pPr>
        <w:pStyle w:val="Normal"/>
        <w:rPr>
          <w:rFonts w:ascii="Arial" w:hAnsi="Arial" w:cs="Arial"/>
          <w:sz w:val="22"/>
        </w:rPr>
      </w:pPr>
      <w:r>
        <w:rPr>
          <w:rFonts w:cs="Arial" w:ascii="Arial" w:hAnsi="Arial"/>
          <w:sz w:val="22"/>
        </w:rPr>
        <w:t>Depuis cette date, la ville de GONESSE a missionné la SARL Assistance Foncière pour obtenir des accords amiables avec les 60 propriétaires indivis concernés. A ce jour, 57 accords ont été obtenus, une succession s’avère insoluble en raison de la disparition d’un des héritiers à l’étranger, un nouvel accord est en cours de signature et il reste un opposant qui s’est manifesté lors de l’enquête.</w:t>
      </w:r>
    </w:p>
    <w:p>
      <w:pPr>
        <w:pStyle w:val="Normal"/>
        <w:rPr>
          <w:rFonts w:ascii="Arial" w:hAnsi="Arial" w:cs="Arial"/>
          <w:sz w:val="22"/>
        </w:rPr>
      </w:pPr>
      <w:r>
        <w:rPr>
          <w:rFonts w:cs="Arial" w:ascii="Arial" w:hAnsi="Arial"/>
          <w:sz w:val="22"/>
        </w:rPr>
      </w:r>
    </w:p>
    <w:p>
      <w:pPr>
        <w:pStyle w:val="Normal"/>
        <w:rPr>
          <w:rFonts w:ascii="Arial" w:hAnsi="Arial" w:cs="Arial"/>
          <w:sz w:val="22"/>
        </w:rPr>
      </w:pPr>
      <w:r>
        <w:rPr>
          <w:rFonts w:cs="Arial" w:ascii="Arial" w:hAnsi="Arial"/>
          <w:sz w:val="22"/>
        </w:rPr>
      </w:r>
    </w:p>
    <w:p>
      <w:pPr>
        <w:pStyle w:val="Normal"/>
        <w:ind w:left="12" w:right="51" w:hanging="10"/>
        <w:rPr>
          <w:rFonts w:ascii="Arial" w:hAnsi="Arial" w:cs="Arial"/>
          <w:sz w:val="22"/>
        </w:rPr>
      </w:pPr>
      <w:r>
        <w:rPr>
          <w:rFonts w:cs="Arial" w:ascii="Arial" w:hAnsi="Arial"/>
          <w:sz w:val="22"/>
        </w:rPr>
        <w:t xml:space="preserve">L’article 545 du Code Civil stipule que : </w:t>
      </w:r>
    </w:p>
    <w:p>
      <w:pPr>
        <w:pStyle w:val="Normal"/>
        <w:spacing w:lineRule="auto" w:line="247"/>
        <w:ind w:left="2" w:right="48" w:firstLine="708"/>
        <w:rPr>
          <w:rFonts w:ascii="Arial" w:hAnsi="Arial" w:cs="Arial"/>
          <w:sz w:val="22"/>
        </w:rPr>
      </w:pPr>
      <w:r>
        <w:rPr>
          <w:rFonts w:cs="Arial" w:ascii="Arial" w:hAnsi="Arial"/>
          <w:sz w:val="22"/>
        </w:rPr>
        <w:t xml:space="preserve"> </w:t>
      </w:r>
      <w:r>
        <w:rPr>
          <w:rFonts w:cs="Arial" w:ascii="Arial" w:hAnsi="Arial"/>
          <w:sz w:val="22"/>
        </w:rPr>
        <w:t xml:space="preserve">« </w:t>
      </w:r>
      <w:r>
        <w:rPr>
          <w:rFonts w:cs="Arial" w:ascii="Arial" w:hAnsi="Arial"/>
          <w:i/>
          <w:iCs/>
          <w:sz w:val="22"/>
        </w:rPr>
        <w:t>nul ne peut être contraint de céder sa propriété, si ce n’est pour cause d’utilité publique et moyennant une juste et préalable indemnité</w:t>
      </w:r>
      <w:r>
        <w:rPr>
          <w:rFonts w:cs="Arial" w:ascii="Arial" w:hAnsi="Arial"/>
          <w:sz w:val="22"/>
        </w:rPr>
        <w:t xml:space="preserve"> ». </w:t>
      </w:r>
    </w:p>
    <w:p>
      <w:pPr>
        <w:pStyle w:val="Normal"/>
        <w:ind w:left="2" w:right="51" w:firstLine="708"/>
        <w:rPr>
          <w:rFonts w:ascii="Arial" w:hAnsi="Arial" w:cs="Arial"/>
          <w:sz w:val="22"/>
        </w:rPr>
      </w:pPr>
      <w:r>
        <w:rPr>
          <w:rFonts w:cs="Arial" w:ascii="Arial" w:hAnsi="Arial"/>
          <w:sz w:val="22"/>
        </w:rPr>
        <w:t xml:space="preserve">L’expropriation ne peut avoir lieu qu’à la condition qu’elle réponde à une utilité publique préalablement et formellement constatée à la suite d’une enquête publique et qu’il ait été procédé à la détermination des parcelles à exproprier ainsi qu’à la recherche des propriétaires, des titulaires de droits réels et des autres personnes intéressées. Deux enquêtes sont nécessaires : l’enquête préalable à la déclaration d’utilité publique et l’enquête parcellaire. </w:t>
      </w:r>
    </w:p>
    <w:p>
      <w:pPr>
        <w:pStyle w:val="Normal"/>
        <w:spacing w:lineRule="auto" w:line="247" w:before="0" w:after="169"/>
        <w:ind w:left="0" w:right="51" w:firstLine="708"/>
        <w:jc w:val="both"/>
        <w:rPr>
          <w:rFonts w:ascii="Arial" w:hAnsi="Arial" w:eastAsia="Times New Roman" w:cs="Arial"/>
          <w:sz w:val="22"/>
        </w:rPr>
      </w:pPr>
      <w:r>
        <w:rPr>
          <w:rFonts w:eastAsia="Times New Roman" w:cs="Arial" w:ascii="Arial" w:hAnsi="Arial"/>
          <w:sz w:val="22"/>
        </w:rPr>
      </w:r>
    </w:p>
    <w:p>
      <w:pPr>
        <w:pStyle w:val="Normal"/>
        <w:spacing w:lineRule="auto" w:line="259" w:before="0" w:after="0"/>
        <w:rPr>
          <w:rFonts w:ascii="Arial" w:hAnsi="Arial" w:eastAsia="Times New Roman" w:cs="Arial"/>
          <w:b/>
          <w:b/>
          <w:color w:val="auto"/>
          <w:sz w:val="22"/>
        </w:rPr>
      </w:pPr>
      <w:r>
        <w:rPr>
          <w:rFonts w:eastAsia="Times New Roman" w:cs="Arial" w:ascii="Arial" w:hAnsi="Arial"/>
          <w:b/>
          <w:color w:val="auto"/>
          <w:sz w:val="22"/>
        </w:rPr>
        <w:t>Objet de l’enquête parcellaire</w:t>
      </w:r>
    </w:p>
    <w:p>
      <w:pPr>
        <w:pStyle w:val="ListParagraph"/>
        <w:spacing w:lineRule="auto" w:line="259" w:before="0" w:after="0"/>
        <w:ind w:left="360" w:hanging="0"/>
        <w:contextualSpacing/>
        <w:rPr>
          <w:rFonts w:ascii="Arial" w:hAnsi="Arial" w:eastAsia="Times New Roman" w:cs="Arial"/>
          <w:b/>
          <w:b/>
          <w:color w:val="auto"/>
          <w:sz w:val="22"/>
        </w:rPr>
      </w:pPr>
      <w:r>
        <w:rPr>
          <w:rFonts w:eastAsia="Times New Roman" w:cs="Arial" w:ascii="Arial" w:hAnsi="Arial"/>
          <w:b/>
          <w:color w:val="auto"/>
          <w:sz w:val="22"/>
        </w:rPr>
      </w:r>
    </w:p>
    <w:p>
      <w:pPr>
        <w:pStyle w:val="ListParagraph"/>
        <w:spacing w:lineRule="auto" w:line="259" w:before="0" w:after="0"/>
        <w:ind w:left="2" w:hanging="0"/>
        <w:contextualSpacing/>
        <w:rPr>
          <w:rFonts w:ascii="Arial" w:hAnsi="Arial" w:eastAsia="Times New Roman" w:cs="Arial"/>
          <w:bCs/>
          <w:color w:val="auto"/>
          <w:sz w:val="22"/>
        </w:rPr>
      </w:pPr>
      <w:r>
        <w:rPr>
          <w:rFonts w:eastAsia="Times New Roman" w:cs="Arial" w:ascii="Arial" w:hAnsi="Arial"/>
          <w:bCs/>
          <w:color w:val="auto"/>
          <w:sz w:val="22"/>
        </w:rPr>
        <w:t>L’objectif de l’enquête parcellaire est de deux natures :</w:t>
      </w:r>
    </w:p>
    <w:p>
      <w:pPr>
        <w:pStyle w:val="ListParagraph"/>
        <w:spacing w:lineRule="auto" w:line="259" w:before="0" w:after="0"/>
        <w:ind w:left="2" w:hanging="0"/>
        <w:contextualSpacing/>
        <w:rPr>
          <w:rFonts w:ascii="Arial" w:hAnsi="Arial" w:eastAsia="Times New Roman" w:cs="Arial"/>
          <w:bCs/>
          <w:color w:val="auto"/>
          <w:sz w:val="22"/>
        </w:rPr>
      </w:pPr>
      <w:r>
        <w:rPr>
          <w:rFonts w:eastAsia="Times New Roman" w:cs="Arial" w:ascii="Arial" w:hAnsi="Arial"/>
          <w:bCs/>
          <w:color w:val="auto"/>
          <w:sz w:val="22"/>
        </w:rPr>
      </w:r>
    </w:p>
    <w:p>
      <w:pPr>
        <w:pStyle w:val="ListParagraph"/>
        <w:spacing w:lineRule="auto" w:line="259" w:before="0" w:after="0"/>
        <w:ind w:left="2" w:hanging="0"/>
        <w:contextualSpacing/>
        <w:rPr>
          <w:rFonts w:ascii="Arial" w:hAnsi="Arial" w:eastAsia="Times New Roman" w:cs="Arial"/>
          <w:bCs/>
          <w:color w:val="auto"/>
          <w:sz w:val="22"/>
        </w:rPr>
      </w:pPr>
      <w:r>
        <w:rPr>
          <w:rFonts w:eastAsia="Times New Roman" w:cs="Arial" w:ascii="Arial" w:hAnsi="Arial"/>
          <w:bCs/>
          <w:color w:val="auto"/>
          <w:sz w:val="22"/>
        </w:rPr>
        <w:t>- permettre aux propriétaires concernés par le projet, c’est-à-dire risquant de subir une privation de leur bien pour la réalisation du projet, de connaitre avec exactitude dans quelle condition leurs biens seront concernés,</w:t>
      </w:r>
    </w:p>
    <w:p>
      <w:pPr>
        <w:pStyle w:val="ListParagraph"/>
        <w:spacing w:lineRule="auto" w:line="259" w:before="0" w:after="0"/>
        <w:ind w:left="2" w:hanging="0"/>
        <w:contextualSpacing/>
        <w:rPr>
          <w:rFonts w:ascii="Arial" w:hAnsi="Arial" w:eastAsia="Times New Roman" w:cs="Arial"/>
          <w:bCs/>
          <w:color w:val="auto"/>
          <w:sz w:val="22"/>
        </w:rPr>
      </w:pPr>
      <w:r>
        <w:rPr>
          <w:rFonts w:eastAsia="Times New Roman" w:cs="Arial" w:ascii="Arial" w:hAnsi="Arial"/>
          <w:bCs/>
          <w:color w:val="auto"/>
          <w:sz w:val="22"/>
        </w:rPr>
      </w:r>
    </w:p>
    <w:p>
      <w:pPr>
        <w:pStyle w:val="ListParagraph"/>
        <w:spacing w:lineRule="auto" w:line="259" w:before="0" w:after="0"/>
        <w:ind w:left="2" w:hanging="0"/>
        <w:contextualSpacing/>
        <w:jc w:val="both"/>
        <w:rPr>
          <w:rFonts w:ascii="Arial" w:hAnsi="Arial" w:eastAsia="Times New Roman" w:cs="Arial"/>
          <w:bCs/>
          <w:color w:val="auto"/>
          <w:sz w:val="22"/>
        </w:rPr>
      </w:pPr>
      <w:r>
        <w:rPr>
          <w:rFonts w:eastAsia="Times New Roman" w:cs="Arial" w:ascii="Arial" w:hAnsi="Arial"/>
          <w:bCs/>
          <w:color w:val="auto"/>
          <w:sz w:val="22"/>
        </w:rPr>
        <w:t>- vérifier l’exactitude des informations cadastrales avec une évaluation des parcelles par les domaines et les références des lots de chaque propriétaire.</w:t>
      </w:r>
    </w:p>
    <w:p>
      <w:pPr>
        <w:pStyle w:val="ListParagraph"/>
        <w:spacing w:lineRule="auto" w:line="259" w:before="0" w:after="0"/>
        <w:ind w:left="2" w:hanging="0"/>
        <w:contextualSpacing/>
        <w:jc w:val="both"/>
        <w:rPr>
          <w:rFonts w:ascii="Arial" w:hAnsi="Arial" w:eastAsia="Times New Roman" w:cs="Arial"/>
          <w:bCs/>
          <w:color w:val="auto"/>
          <w:sz w:val="22"/>
        </w:rPr>
      </w:pPr>
      <w:r>
        <w:rPr>
          <w:rFonts w:eastAsia="Times New Roman" w:cs="Arial" w:ascii="Arial" w:hAnsi="Arial"/>
          <w:bCs/>
          <w:color w:val="auto"/>
          <w:sz w:val="22"/>
        </w:rPr>
      </w:r>
    </w:p>
    <w:p>
      <w:pPr>
        <w:pStyle w:val="ListParagraph"/>
        <w:spacing w:lineRule="auto" w:line="259" w:before="0" w:after="0"/>
        <w:ind w:left="2" w:hanging="0"/>
        <w:contextualSpacing/>
        <w:jc w:val="both"/>
        <w:rPr>
          <w:rFonts w:ascii="Arial" w:hAnsi="Arial" w:eastAsia="Times New Roman" w:cs="Arial"/>
          <w:bCs/>
          <w:color w:val="auto"/>
          <w:sz w:val="22"/>
        </w:rPr>
      </w:pPr>
      <w:r>
        <w:rPr>
          <w:rFonts w:eastAsia="Times New Roman" w:cs="Arial" w:ascii="Arial" w:hAnsi="Arial"/>
          <w:bCs/>
          <w:color w:val="auto"/>
          <w:sz w:val="22"/>
        </w:rPr>
        <w:t xml:space="preserve">Cette procédure est conjointe à la déclaration d’utilité publique, qui fait l’objet d’un rapport séparé, et est relative à l’opération de réhabilitation. </w:t>
      </w:r>
    </w:p>
    <w:p>
      <w:pPr>
        <w:pStyle w:val="ListParagraph"/>
        <w:spacing w:lineRule="auto" w:line="259" w:before="0" w:after="0"/>
        <w:ind w:left="2" w:hanging="0"/>
        <w:contextualSpacing/>
        <w:jc w:val="both"/>
        <w:rPr>
          <w:rFonts w:ascii="Arial" w:hAnsi="Arial" w:eastAsia="Times New Roman" w:cs="Arial"/>
          <w:bCs/>
          <w:color w:val="auto"/>
          <w:sz w:val="22"/>
        </w:rPr>
      </w:pPr>
      <w:r>
        <w:rPr>
          <w:rFonts w:eastAsia="Times New Roman" w:cs="Arial" w:ascii="Arial" w:hAnsi="Arial"/>
          <w:bCs/>
          <w:color w:val="auto"/>
          <w:sz w:val="22"/>
        </w:rPr>
      </w:r>
    </w:p>
    <w:p>
      <w:pPr>
        <w:pStyle w:val="ListParagraph"/>
        <w:spacing w:lineRule="auto" w:line="259" w:before="0" w:after="0"/>
        <w:ind w:left="2" w:hanging="0"/>
        <w:contextualSpacing/>
        <w:jc w:val="both"/>
        <w:rPr>
          <w:rFonts w:ascii="Arial" w:hAnsi="Arial" w:eastAsia="Times New Roman" w:cs="Arial"/>
          <w:bCs/>
          <w:color w:val="auto"/>
          <w:sz w:val="22"/>
        </w:rPr>
      </w:pPr>
      <w:r>
        <w:rPr>
          <w:rFonts w:eastAsia="Times New Roman" w:cs="Arial" w:ascii="Arial" w:hAnsi="Arial"/>
          <w:bCs/>
          <w:color w:val="auto"/>
          <w:sz w:val="22"/>
        </w:rPr>
        <w:t>Elle est réalisée en application des articles R.11-19 et suivant du code de l’expropriation pour cause d’utilité publique ; elle constitue une phase administrative précédent l’arrêté de cessibilité promulgué par arrêté préfectoral, lequel désigne les propriétés dont la cession est nécessaire à la réalisation du projet.</w:t>
      </w:r>
    </w:p>
    <w:p>
      <w:pPr>
        <w:pStyle w:val="ListParagraph"/>
        <w:spacing w:lineRule="auto" w:line="259" w:before="0" w:after="0"/>
        <w:ind w:left="2" w:hanging="0"/>
        <w:contextualSpacing/>
        <w:jc w:val="both"/>
        <w:rPr>
          <w:rFonts w:ascii="Arial" w:hAnsi="Arial" w:eastAsia="Times New Roman" w:cs="Arial"/>
          <w:bCs/>
          <w:color w:val="auto"/>
          <w:sz w:val="22"/>
        </w:rPr>
      </w:pPr>
      <w:r>
        <w:rPr>
          <w:rFonts w:eastAsia="Times New Roman" w:cs="Arial" w:ascii="Arial" w:hAnsi="Arial"/>
          <w:bCs/>
          <w:color w:val="auto"/>
          <w:sz w:val="22"/>
        </w:rPr>
      </w:r>
    </w:p>
    <w:p>
      <w:pPr>
        <w:pStyle w:val="ListParagraph"/>
        <w:spacing w:lineRule="auto" w:line="259" w:before="0" w:after="0"/>
        <w:ind w:left="2" w:hanging="0"/>
        <w:contextualSpacing/>
        <w:jc w:val="both"/>
        <w:rPr>
          <w:rFonts w:ascii="Arial" w:hAnsi="Arial" w:eastAsia="Times New Roman" w:cs="Arial"/>
          <w:bCs/>
          <w:color w:val="auto"/>
          <w:sz w:val="22"/>
        </w:rPr>
      </w:pPr>
      <w:r>
        <w:rPr>
          <w:rFonts w:eastAsia="Times New Roman" w:cs="Arial" w:ascii="Arial" w:hAnsi="Arial"/>
          <w:bCs/>
          <w:color w:val="auto"/>
          <w:sz w:val="22"/>
        </w:rPr>
        <w:t>Dans son objectif, elle va permettre d’identifier les titulaires de droits réels, et les ayants droits susceptibles de céder la propriété des parts des biens concernés, dans le cadre de ladite procédure d’expropriation.</w:t>
      </w:r>
    </w:p>
    <w:p>
      <w:pPr>
        <w:pStyle w:val="ListParagraph"/>
        <w:spacing w:lineRule="auto" w:line="259" w:before="0" w:after="0"/>
        <w:ind w:left="2" w:hanging="0"/>
        <w:contextualSpacing/>
        <w:jc w:val="both"/>
        <w:rPr>
          <w:rFonts w:ascii="Arial" w:hAnsi="Arial" w:eastAsia="Times New Roman" w:cs="Arial"/>
          <w:bCs/>
          <w:color w:val="auto"/>
          <w:sz w:val="22"/>
        </w:rPr>
      </w:pPr>
      <w:r>
        <w:rPr>
          <w:rFonts w:eastAsia="Times New Roman" w:cs="Arial" w:ascii="Arial" w:hAnsi="Arial"/>
          <w:bCs/>
          <w:color w:val="auto"/>
          <w:sz w:val="22"/>
        </w:rPr>
      </w:r>
    </w:p>
    <w:p>
      <w:pPr>
        <w:pStyle w:val="ListParagraph"/>
        <w:spacing w:lineRule="auto" w:line="259" w:before="0" w:after="0"/>
        <w:ind w:left="2" w:hanging="0"/>
        <w:contextualSpacing/>
        <w:jc w:val="both"/>
        <w:rPr>
          <w:rFonts w:ascii="Arial" w:hAnsi="Arial" w:eastAsia="Times New Roman" w:cs="Arial"/>
          <w:bCs/>
          <w:color w:val="auto"/>
          <w:sz w:val="22"/>
        </w:rPr>
      </w:pPr>
      <w:r>
        <w:rPr>
          <w:rFonts w:eastAsia="Times New Roman" w:cs="Arial" w:ascii="Arial" w:hAnsi="Arial"/>
          <w:bCs/>
          <w:color w:val="auto"/>
          <w:sz w:val="22"/>
        </w:rPr>
        <w:t xml:space="preserve">Dans sa finalité, elle vise la détermination de l’intégralité des parts à acquérir consécutivement à la décision d’expropriation, condition nécessaire à la réalisation du projet de la ville de GONESSE. </w:t>
      </w:r>
    </w:p>
    <w:p>
      <w:pPr>
        <w:pStyle w:val="ListParagraph"/>
        <w:spacing w:lineRule="auto" w:line="259" w:before="0" w:after="0"/>
        <w:ind w:left="2" w:hanging="0"/>
        <w:contextualSpacing/>
        <w:jc w:val="both"/>
        <w:rPr>
          <w:rFonts w:ascii="Arial" w:hAnsi="Arial" w:eastAsia="Times New Roman" w:cs="Arial"/>
          <w:bCs/>
          <w:color w:val="auto"/>
          <w:sz w:val="22"/>
        </w:rPr>
      </w:pPr>
      <w:r>
        <w:rPr>
          <w:rFonts w:eastAsia="Times New Roman" w:cs="Arial" w:ascii="Arial" w:hAnsi="Arial"/>
          <w:bCs/>
          <w:color w:val="auto"/>
          <w:sz w:val="22"/>
        </w:rPr>
      </w:r>
    </w:p>
    <w:p>
      <w:pPr>
        <w:pStyle w:val="ListParagraph"/>
        <w:spacing w:lineRule="auto" w:line="259" w:before="0" w:after="0"/>
        <w:ind w:left="2" w:hanging="0"/>
        <w:contextualSpacing/>
        <w:jc w:val="both"/>
        <w:rPr>
          <w:rFonts w:ascii="Arial" w:hAnsi="Arial" w:eastAsia="Times New Roman" w:cs="Arial"/>
          <w:bCs/>
          <w:color w:val="auto"/>
          <w:sz w:val="22"/>
        </w:rPr>
      </w:pPr>
      <w:r>
        <w:rPr>
          <w:rFonts w:eastAsia="Times New Roman" w:cs="Arial" w:ascii="Arial" w:hAnsi="Arial"/>
          <w:bCs/>
          <w:color w:val="auto"/>
          <w:sz w:val="22"/>
        </w:rPr>
        <w:t xml:space="preserve">L’enquête parcellaire est menée conjointement à la DUP dans la mesure où le périmètre exact est déterminé avant la DUP et sachant que l’expropriant est en mesure de dresser la liste des propriétaires et le plan parcellaire. </w:t>
      </w:r>
    </w:p>
    <w:p>
      <w:pPr>
        <w:pStyle w:val="ListParagraph"/>
        <w:spacing w:lineRule="auto" w:line="259" w:before="0" w:after="0"/>
        <w:ind w:left="2" w:hanging="0"/>
        <w:contextualSpacing/>
        <w:jc w:val="both"/>
        <w:rPr>
          <w:rFonts w:ascii="Arial" w:hAnsi="Arial" w:eastAsia="Times New Roman" w:cs="Arial"/>
          <w:bCs/>
          <w:color w:val="auto"/>
          <w:sz w:val="22"/>
        </w:rPr>
      </w:pPr>
      <w:r>
        <w:rPr>
          <w:rFonts w:eastAsia="Times New Roman" w:cs="Arial" w:ascii="Arial" w:hAnsi="Arial"/>
          <w:bCs/>
          <w:color w:val="auto"/>
          <w:sz w:val="22"/>
        </w:rPr>
        <w:t xml:space="preserve">Ces conditions sont parfaitement remplies dans l’enquête présente puisque la ville de GONESSE a dressé dans le rapport principal (p 30 à 34), le relevé cadastral de tous les terrains concernés. Une partie des parcelles se trouve appartenir à la ville, le reste étant sous le régime d’une copropriété indivise des 60 propriétaires de pavillons et appartements construits et vendus par la Société Parisienne d’Etudes et de Recherches Foncières (SOPEREF). La SOPEREF a constitué une Association syndicale Libre (ASL) de « l’ensemble Immobilier Première Vallée II », devenue ensuite ASL « Claire Vallée » pour administrer les équipements communs du lotissement placés sous le régime de l’indivision forcée. </w:t>
      </w:r>
    </w:p>
    <w:p>
      <w:pPr>
        <w:pStyle w:val="Normal"/>
        <w:spacing w:lineRule="auto" w:line="259" w:before="0" w:after="0"/>
        <w:ind w:left="0" w:hanging="0"/>
        <w:jc w:val="both"/>
        <w:rPr>
          <w:rFonts w:ascii="Arial" w:hAnsi="Arial" w:eastAsia="Times New Roman" w:cs="Arial"/>
          <w:bCs/>
          <w:color w:val="auto"/>
          <w:sz w:val="22"/>
        </w:rPr>
      </w:pPr>
      <w:r>
        <w:rPr>
          <w:rFonts w:eastAsia="Times New Roman" w:cs="Arial" w:ascii="Arial" w:hAnsi="Arial"/>
          <w:bCs/>
          <w:color w:val="auto"/>
          <w:sz w:val="22"/>
        </w:rPr>
      </w:r>
    </w:p>
    <w:p>
      <w:pPr>
        <w:pStyle w:val="ListParagraph"/>
        <w:spacing w:lineRule="auto" w:line="259" w:before="0" w:after="0"/>
        <w:ind w:left="2" w:hanging="0"/>
        <w:contextualSpacing/>
        <w:jc w:val="both"/>
        <w:rPr>
          <w:rFonts w:ascii="Arial" w:hAnsi="Arial" w:eastAsia="Times New Roman" w:cs="Arial"/>
          <w:bCs/>
          <w:color w:val="auto"/>
          <w:sz w:val="22"/>
        </w:rPr>
      </w:pPr>
      <w:r>
        <w:rPr>
          <w:rFonts w:eastAsia="Times New Roman" w:cs="Arial" w:ascii="Arial" w:hAnsi="Arial"/>
          <w:bCs/>
          <w:color w:val="auto"/>
          <w:sz w:val="22"/>
        </w:rPr>
        <w:t>Comme décrit ci-dessus, depuis 2017, suite à la délibération prise en assemblée générale de l’ASL « Claire vallée », la ville de GONESSE a missionné la SARL Assistance Foncière (21</w:t>
      </w:r>
      <w:r>
        <w:rPr>
          <w:rFonts w:eastAsia="Times New Roman" w:cs="Arial" w:ascii="Arial" w:hAnsi="Arial"/>
          <w:bCs/>
          <w:color w:val="auto"/>
          <w:sz w:val="22"/>
          <w:vertAlign w:val="superscript"/>
        </w:rPr>
        <w:t>E</w:t>
      </w:r>
      <w:r>
        <w:rPr>
          <w:rFonts w:eastAsia="Times New Roman" w:cs="Arial" w:ascii="Arial" w:hAnsi="Arial"/>
          <w:bCs/>
          <w:color w:val="auto"/>
          <w:sz w:val="22"/>
        </w:rPr>
        <w:t xml:space="preserve"> rue de Champrenard 77540 COURPALAY) pour obtenir les accords amiables, rédiger les actes de vente et fixer le montant des règlements. </w:t>
      </w:r>
    </w:p>
    <w:p>
      <w:pPr>
        <w:pStyle w:val="ListParagraph"/>
        <w:spacing w:lineRule="auto" w:line="259" w:before="0" w:after="0"/>
        <w:ind w:left="2" w:hanging="0"/>
        <w:contextualSpacing/>
        <w:jc w:val="both"/>
        <w:rPr>
          <w:rFonts w:ascii="Arial" w:hAnsi="Arial" w:eastAsia="Times New Roman" w:cs="Arial"/>
          <w:bCs/>
          <w:color w:val="auto"/>
          <w:sz w:val="22"/>
        </w:rPr>
      </w:pPr>
      <w:r>
        <w:rPr>
          <w:rFonts w:eastAsia="Times New Roman" w:cs="Arial" w:ascii="Arial" w:hAnsi="Arial"/>
          <w:bCs/>
          <w:color w:val="auto"/>
          <w:sz w:val="22"/>
        </w:rPr>
        <w:t>A ce jour, 57 accords ont été obtenus et attestés dans un document joint en annexe de ce rapport. Il reste donc 3 propriétaires indivis en suspens : un accord est en principe en cours de signature et il reste au moins deux propriétaires indivis qui doivent être expropriés pour permettre la réalisation du projet.</w:t>
      </w:r>
    </w:p>
    <w:p>
      <w:pPr>
        <w:pStyle w:val="ListParagraph"/>
        <w:spacing w:lineRule="auto" w:line="259" w:before="0" w:after="0"/>
        <w:ind w:left="2" w:hanging="0"/>
        <w:contextualSpacing/>
        <w:jc w:val="both"/>
        <w:rPr>
          <w:rFonts w:ascii="Arial" w:hAnsi="Arial" w:eastAsia="Times New Roman" w:cs="Arial"/>
          <w:bCs/>
          <w:color w:val="auto"/>
          <w:sz w:val="22"/>
        </w:rPr>
      </w:pPr>
      <w:r>
        <w:rPr>
          <w:rFonts w:eastAsia="Times New Roman" w:cs="Arial" w:ascii="Arial" w:hAnsi="Arial"/>
          <w:bCs/>
          <w:color w:val="auto"/>
          <w:sz w:val="22"/>
        </w:rPr>
      </w:r>
    </w:p>
    <w:p>
      <w:pPr>
        <w:pStyle w:val="ListParagraph"/>
        <w:spacing w:lineRule="auto" w:line="259" w:before="0" w:after="0"/>
        <w:ind w:left="2" w:hanging="0"/>
        <w:contextualSpacing/>
        <w:jc w:val="both"/>
        <w:rPr>
          <w:rFonts w:ascii="Arial" w:hAnsi="Arial" w:eastAsia="Times New Roman" w:cs="Arial"/>
          <w:bCs/>
          <w:color w:val="auto"/>
          <w:sz w:val="22"/>
        </w:rPr>
      </w:pPr>
      <w:r>
        <w:rPr>
          <w:rFonts w:eastAsia="Times New Roman" w:cs="Arial" w:ascii="Arial" w:hAnsi="Arial"/>
          <w:bCs/>
          <w:color w:val="auto"/>
          <w:sz w:val="22"/>
        </w:rPr>
        <w:t>Dans sa nature, l’enquête parcellaire a un caractère contradictoire en ce sens que les propriétaires indivis concernés sont informés individuellement à prendre connaissance de la tenue d’une enquête publique, afin que chacun d’eux puisse venir exprimer ses observations.</w:t>
      </w:r>
    </w:p>
    <w:p>
      <w:pPr>
        <w:pStyle w:val="ListParagraph"/>
        <w:spacing w:lineRule="auto" w:line="259" w:before="0" w:after="0"/>
        <w:ind w:left="2" w:hanging="0"/>
        <w:contextualSpacing/>
        <w:jc w:val="both"/>
        <w:rPr>
          <w:rFonts w:ascii="Arial" w:hAnsi="Arial" w:eastAsia="Times New Roman" w:cs="Arial"/>
          <w:bCs/>
          <w:color w:val="auto"/>
          <w:sz w:val="22"/>
        </w:rPr>
      </w:pPr>
      <w:r>
        <w:rPr>
          <w:rFonts w:eastAsia="Times New Roman" w:cs="Arial" w:ascii="Arial" w:hAnsi="Arial"/>
          <w:bCs/>
          <w:color w:val="auto"/>
          <w:sz w:val="22"/>
        </w:rPr>
      </w:r>
    </w:p>
    <w:p>
      <w:pPr>
        <w:pStyle w:val="ListParagraph"/>
        <w:spacing w:lineRule="auto" w:line="259" w:before="0" w:after="0"/>
        <w:ind w:left="2" w:hanging="0"/>
        <w:contextualSpacing/>
        <w:jc w:val="both"/>
        <w:rPr>
          <w:rFonts w:ascii="Arial" w:hAnsi="Arial" w:eastAsia="Times New Roman" w:cs="Arial"/>
          <w:bCs/>
          <w:color w:val="auto"/>
          <w:sz w:val="22"/>
        </w:rPr>
      </w:pPr>
      <w:r>
        <w:rPr>
          <w:rFonts w:eastAsia="Times New Roman" w:cs="Arial" w:ascii="Arial" w:hAnsi="Arial"/>
          <w:bCs/>
          <w:color w:val="auto"/>
          <w:sz w:val="22"/>
        </w:rPr>
        <w:t>Les ayant droits de ces trois propriétaires indivis, ont été informés de la procédure par un courrier déposé à leur domicile par huissier les 25 &amp; 26 janvier dernier, avant l’ouverture de l’enquête prévue le 29 janvier 2024.</w:t>
      </w:r>
    </w:p>
    <w:p>
      <w:pPr>
        <w:pStyle w:val="ListParagraph"/>
        <w:spacing w:lineRule="auto" w:line="259" w:before="0" w:after="0"/>
        <w:ind w:left="2" w:hanging="0"/>
        <w:contextualSpacing/>
        <w:jc w:val="both"/>
        <w:rPr>
          <w:rFonts w:ascii="Arial" w:hAnsi="Arial" w:eastAsia="Times New Roman" w:cs="Arial"/>
          <w:bCs/>
          <w:color w:val="auto"/>
          <w:sz w:val="22"/>
        </w:rPr>
      </w:pPr>
      <w:r>
        <w:rPr>
          <w:rFonts w:eastAsia="Times New Roman" w:cs="Arial" w:ascii="Arial" w:hAnsi="Arial"/>
          <w:bCs/>
          <w:color w:val="auto"/>
          <w:sz w:val="22"/>
        </w:rPr>
        <w:t>Il s’agit de :</w:t>
      </w:r>
    </w:p>
    <w:p>
      <w:pPr>
        <w:pStyle w:val="ListParagraph"/>
        <w:numPr>
          <w:ilvl w:val="0"/>
          <w:numId w:val="37"/>
        </w:numPr>
        <w:spacing w:lineRule="auto" w:line="259" w:before="0" w:after="0"/>
        <w:contextualSpacing/>
        <w:jc w:val="both"/>
        <w:rPr>
          <w:rFonts w:ascii="Arial" w:hAnsi="Arial" w:eastAsia="Times New Roman" w:cs="Arial"/>
          <w:bCs/>
          <w:color w:val="auto"/>
          <w:sz w:val="22"/>
        </w:rPr>
      </w:pPr>
      <w:r>
        <w:rPr>
          <w:rFonts w:eastAsia="Times New Roman" w:cs="Arial" w:ascii="Arial" w:hAnsi="Arial"/>
          <w:bCs/>
          <w:color w:val="auto"/>
          <w:sz w:val="22"/>
        </w:rPr>
        <w:t>5 ayant droits de la succession Rubira qui entre temps auraient acceptés la transaction,</w:t>
      </w:r>
    </w:p>
    <w:p>
      <w:pPr>
        <w:pStyle w:val="ListParagraph"/>
        <w:numPr>
          <w:ilvl w:val="0"/>
          <w:numId w:val="37"/>
        </w:numPr>
        <w:spacing w:lineRule="auto" w:line="259" w:before="0" w:after="0"/>
        <w:contextualSpacing/>
        <w:jc w:val="both"/>
        <w:rPr>
          <w:rFonts w:ascii="Arial" w:hAnsi="Arial" w:eastAsia="Times New Roman" w:cs="Arial"/>
          <w:bCs/>
          <w:color w:val="auto"/>
          <w:sz w:val="22"/>
        </w:rPr>
      </w:pPr>
      <w:r>
        <w:rPr>
          <w:rFonts w:eastAsia="Times New Roman" w:cs="Arial" w:ascii="Arial" w:hAnsi="Arial"/>
          <w:bCs/>
          <w:color w:val="auto"/>
          <w:sz w:val="22"/>
        </w:rPr>
        <w:t>Madame Djamila Guellab, décédée, dont la succession ne peut être réglée en raison de la disparition à l’étranger de l’un de ses héritiers,</w:t>
      </w:r>
    </w:p>
    <w:p>
      <w:pPr>
        <w:pStyle w:val="ListParagraph"/>
        <w:numPr>
          <w:ilvl w:val="0"/>
          <w:numId w:val="37"/>
        </w:numPr>
        <w:spacing w:lineRule="auto" w:line="259" w:before="0" w:after="0"/>
        <w:contextualSpacing/>
        <w:jc w:val="both"/>
        <w:rPr>
          <w:rFonts w:ascii="Arial" w:hAnsi="Arial" w:eastAsia="Times New Roman" w:cs="Arial"/>
          <w:bCs/>
          <w:color w:val="auto"/>
          <w:sz w:val="22"/>
        </w:rPr>
      </w:pPr>
      <w:r>
        <w:rPr>
          <w:rFonts w:eastAsia="Times New Roman" w:cs="Arial" w:ascii="Arial" w:hAnsi="Arial"/>
          <w:bCs/>
          <w:color w:val="auto"/>
          <w:sz w:val="22"/>
        </w:rPr>
        <w:t>Monsieur et Madame Gulukyan qui ont signifié leur opposition à cette transaction dès 2017et l’ont confirmé en déposant des observations sur les registres Parcellaire et DUP lors de la permanence du 5 février dernier.</w:t>
      </w:r>
    </w:p>
    <w:p>
      <w:pPr>
        <w:pStyle w:val="Normal"/>
        <w:spacing w:lineRule="auto" w:line="259" w:before="0" w:after="0"/>
        <w:jc w:val="both"/>
        <w:rPr>
          <w:rFonts w:ascii="Arial" w:hAnsi="Arial" w:eastAsia="Times New Roman" w:cs="Arial"/>
          <w:bCs/>
          <w:color w:val="auto"/>
          <w:sz w:val="22"/>
        </w:rPr>
      </w:pPr>
      <w:r>
        <w:rPr>
          <w:rFonts w:eastAsia="Times New Roman" w:cs="Arial" w:ascii="Arial" w:hAnsi="Arial"/>
          <w:bCs/>
          <w:color w:val="auto"/>
          <w:sz w:val="22"/>
        </w:rPr>
        <w:t>Les actes d’huissier sont joints en annexe du rapport.</w:t>
      </w:r>
    </w:p>
    <w:p>
      <w:pPr>
        <w:pStyle w:val="ListParagraph"/>
        <w:spacing w:lineRule="auto" w:line="259" w:before="0" w:after="0"/>
        <w:ind w:left="2" w:hanging="0"/>
        <w:contextualSpacing/>
        <w:jc w:val="both"/>
        <w:rPr>
          <w:rFonts w:ascii="Arial" w:hAnsi="Arial" w:eastAsia="Times New Roman" w:cs="Arial"/>
          <w:bCs/>
          <w:color w:val="auto"/>
          <w:sz w:val="22"/>
        </w:rPr>
      </w:pPr>
      <w:r>
        <w:rPr>
          <w:rFonts w:eastAsia="Times New Roman" w:cs="Arial" w:ascii="Arial" w:hAnsi="Arial"/>
          <w:bCs/>
          <w:color w:val="auto"/>
          <w:sz w:val="22"/>
        </w:rPr>
      </w:r>
    </w:p>
    <w:p>
      <w:pPr>
        <w:pStyle w:val="ListParagraph"/>
        <w:spacing w:lineRule="auto" w:line="259" w:before="0" w:after="0"/>
        <w:ind w:left="2" w:hanging="0"/>
        <w:contextualSpacing/>
        <w:jc w:val="both"/>
        <w:rPr>
          <w:rFonts w:ascii="Arial" w:hAnsi="Arial" w:eastAsia="Times New Roman" w:cs="Arial"/>
          <w:bCs/>
          <w:color w:val="auto"/>
          <w:sz w:val="22"/>
        </w:rPr>
      </w:pPr>
      <w:r>
        <w:rPr>
          <w:rFonts w:eastAsia="Times New Roman" w:cs="Arial" w:ascii="Arial" w:hAnsi="Arial"/>
          <w:bCs/>
          <w:color w:val="auto"/>
          <w:sz w:val="22"/>
        </w:rPr>
      </w:r>
    </w:p>
    <w:p>
      <w:pPr>
        <w:pStyle w:val="Normal"/>
        <w:spacing w:lineRule="auto" w:line="259" w:before="0" w:after="0"/>
        <w:ind w:left="0" w:hanging="0"/>
        <w:jc w:val="both"/>
        <w:rPr>
          <w:rFonts w:ascii="Arial" w:hAnsi="Arial" w:eastAsia="Times New Roman" w:cs="Arial"/>
          <w:b/>
          <w:b/>
          <w:color w:val="auto"/>
          <w:sz w:val="22"/>
        </w:rPr>
      </w:pPr>
      <w:r>
        <w:rPr>
          <w:rFonts w:cs="Arial" w:ascii="Arial" w:hAnsi="Arial"/>
          <w:b/>
          <w:color w:val="auto"/>
          <w:sz w:val="22"/>
        </w:rPr>
        <w:t>Bilan de l’enquête parcellaire</w:t>
      </w:r>
    </w:p>
    <w:p>
      <w:pPr>
        <w:pStyle w:val="Normal"/>
        <w:spacing w:lineRule="auto" w:line="259" w:before="0" w:after="0"/>
        <w:ind w:left="0" w:hanging="0"/>
        <w:jc w:val="both"/>
        <w:rPr>
          <w:rFonts w:ascii="Arial" w:hAnsi="Arial" w:eastAsia="Times New Roman" w:cs="Arial"/>
          <w:b/>
          <w:b/>
          <w:color w:val="auto"/>
          <w:sz w:val="22"/>
        </w:rPr>
      </w:pPr>
      <w:r>
        <w:rPr>
          <w:rFonts w:eastAsia="Times New Roman" w:cs="Arial" w:ascii="Arial" w:hAnsi="Arial"/>
          <w:b/>
          <w:color w:val="auto"/>
          <w:sz w:val="22"/>
        </w:rPr>
      </w:r>
    </w:p>
    <w:p>
      <w:pPr>
        <w:pStyle w:val="Normal"/>
        <w:spacing w:lineRule="auto" w:line="259" w:before="0" w:after="158"/>
        <w:ind w:left="31" w:right="861" w:hanging="10"/>
        <w:jc w:val="both"/>
        <w:rPr>
          <w:rFonts w:ascii="Arial" w:hAnsi="Arial" w:cs="Arial"/>
          <w:bCs/>
          <w:color w:val="auto"/>
          <w:sz w:val="22"/>
        </w:rPr>
      </w:pPr>
      <w:r>
        <w:rPr>
          <w:rFonts w:cs="Arial" w:ascii="Arial" w:hAnsi="Arial"/>
          <w:b/>
          <w:color w:val="auto"/>
          <w:sz w:val="22"/>
        </w:rPr>
        <w:t>Sur les emprises des biens à exproprier</w:t>
      </w:r>
    </w:p>
    <w:p>
      <w:pPr>
        <w:pStyle w:val="Normal"/>
        <w:spacing w:lineRule="auto" w:line="259" w:before="0" w:after="158"/>
        <w:ind w:left="0" w:right="861" w:hanging="0"/>
        <w:jc w:val="both"/>
        <w:rPr>
          <w:rFonts w:ascii="Arial" w:hAnsi="Arial" w:cs="Arial"/>
          <w:bCs/>
          <w:color w:val="auto"/>
          <w:sz w:val="22"/>
        </w:rPr>
      </w:pPr>
      <w:r>
        <w:rPr>
          <w:rFonts w:cs="Arial" w:ascii="Arial" w:hAnsi="Arial"/>
          <w:bCs/>
          <w:color w:val="auto"/>
          <w:sz w:val="22"/>
        </w:rPr>
        <w:t>Le commissaire enquêteur observe que le projet intègre la totalité des emprises des parcelles et lots concernés.</w:t>
      </w:r>
    </w:p>
    <w:p>
      <w:pPr>
        <w:pStyle w:val="Normal"/>
        <w:spacing w:lineRule="auto" w:line="259"/>
        <w:ind w:left="31" w:right="861" w:hanging="10"/>
        <w:jc w:val="both"/>
        <w:rPr>
          <w:rFonts w:ascii="Arial" w:hAnsi="Arial" w:cs="Arial"/>
          <w:b/>
          <w:b/>
          <w:color w:val="auto"/>
          <w:sz w:val="22"/>
        </w:rPr>
      </w:pPr>
      <w:r>
        <w:rPr>
          <w:rFonts w:cs="Arial" w:ascii="Arial" w:hAnsi="Arial"/>
          <w:b/>
          <w:color w:val="auto"/>
          <w:sz w:val="22"/>
        </w:rPr>
        <w:t>Sur l’identification des propriétaires</w:t>
      </w:r>
    </w:p>
    <w:p>
      <w:pPr>
        <w:pStyle w:val="Normal"/>
        <w:spacing w:lineRule="auto" w:line="259" w:before="0" w:after="158"/>
        <w:ind w:left="31" w:right="861" w:hanging="10"/>
        <w:jc w:val="both"/>
        <w:rPr>
          <w:rFonts w:ascii="Arial" w:hAnsi="Arial" w:cs="Arial"/>
          <w:b/>
          <w:b/>
          <w:color w:val="auto"/>
          <w:sz w:val="22"/>
        </w:rPr>
      </w:pPr>
      <w:r>
        <w:rPr>
          <w:rFonts w:cs="Arial" w:ascii="Arial" w:hAnsi="Arial"/>
          <w:b/>
          <w:color w:val="auto"/>
          <w:sz w:val="22"/>
        </w:rPr>
        <w:t xml:space="preserve">     </w:t>
      </w:r>
      <w:r>
        <w:rPr>
          <w:rFonts w:cs="Arial" w:ascii="Arial" w:hAnsi="Arial"/>
          <w:b/>
          <w:color w:val="auto"/>
          <w:sz w:val="22"/>
        </w:rPr>
        <w:t>La procédure</w:t>
      </w:r>
    </w:p>
    <w:p>
      <w:pPr>
        <w:pStyle w:val="Normal"/>
        <w:spacing w:lineRule="auto" w:line="259" w:before="0" w:after="158"/>
        <w:ind w:left="0" w:right="861" w:hanging="0"/>
        <w:jc w:val="both"/>
        <w:rPr>
          <w:rFonts w:ascii="Arial" w:hAnsi="Arial" w:cs="Arial"/>
          <w:bCs/>
          <w:color w:val="auto"/>
          <w:sz w:val="22"/>
        </w:rPr>
      </w:pPr>
      <w:r>
        <w:rPr>
          <w:rFonts w:cs="Arial" w:ascii="Arial" w:hAnsi="Arial"/>
          <w:bCs/>
          <w:color w:val="auto"/>
          <w:sz w:val="22"/>
        </w:rPr>
        <w:t>Les procédures ont été respectées notamment en matière de publicité, d’affichage et de notification aux propriétaires.</w:t>
      </w:r>
    </w:p>
    <w:p>
      <w:pPr>
        <w:pStyle w:val="ListParagraph"/>
        <w:spacing w:lineRule="auto" w:line="259" w:before="0" w:after="0"/>
        <w:ind w:left="0" w:hanging="0"/>
        <w:contextualSpacing/>
        <w:jc w:val="both"/>
        <w:rPr>
          <w:rFonts w:ascii="Arial" w:hAnsi="Arial" w:eastAsia="Times New Roman" w:cs="Arial"/>
          <w:color w:val="auto"/>
          <w:sz w:val="22"/>
        </w:rPr>
      </w:pPr>
      <w:r>
        <w:rPr>
          <w:rFonts w:eastAsia="Times New Roman" w:cs="Arial" w:ascii="Arial" w:hAnsi="Arial"/>
          <w:color w:val="auto"/>
          <w:sz w:val="22"/>
        </w:rPr>
        <w:t>Les notifications individuelles prévues à l’article 6 de l’arrêté préfectoral ont été adressées par voie d’huissier aux propriétaires les 25 et 26 janvier 2024, donc avant l’ouverture de l’enquête.</w:t>
      </w:r>
    </w:p>
    <w:p>
      <w:pPr>
        <w:pStyle w:val="ListParagraph"/>
        <w:spacing w:lineRule="auto" w:line="259" w:before="0" w:after="0"/>
        <w:ind w:left="0" w:hanging="0"/>
        <w:contextualSpacing/>
        <w:jc w:val="both"/>
        <w:rPr>
          <w:rFonts w:ascii="Arial" w:hAnsi="Arial" w:eastAsia="Times New Roman" w:cs="Arial"/>
          <w:color w:val="auto"/>
          <w:sz w:val="22"/>
        </w:rPr>
      </w:pPr>
      <w:r>
        <w:rPr>
          <w:rFonts w:eastAsia="Times New Roman" w:cs="Arial" w:ascii="Arial" w:hAnsi="Arial"/>
          <w:color w:val="auto"/>
          <w:sz w:val="22"/>
        </w:rPr>
        <w:t>L’un des propriétaires concernés a pu faire part de ses observations lors de la permanence du 5 février 2024.</w:t>
      </w:r>
    </w:p>
    <w:p>
      <w:pPr>
        <w:pStyle w:val="ListParagraph"/>
        <w:spacing w:lineRule="auto" w:line="259" w:before="0" w:after="0"/>
        <w:ind w:left="0" w:hanging="0"/>
        <w:contextualSpacing/>
        <w:jc w:val="both"/>
        <w:rPr>
          <w:rFonts w:ascii="Arial" w:hAnsi="Arial" w:eastAsia="Times New Roman" w:cs="Arial"/>
          <w:color w:val="auto"/>
          <w:sz w:val="22"/>
        </w:rPr>
      </w:pPr>
      <w:r>
        <w:rPr>
          <w:rFonts w:eastAsia="Times New Roman" w:cs="Arial" w:ascii="Arial" w:hAnsi="Arial"/>
          <w:color w:val="auto"/>
          <w:sz w:val="22"/>
        </w:rPr>
      </w:r>
    </w:p>
    <w:p>
      <w:pPr>
        <w:pStyle w:val="ListParagraph"/>
        <w:spacing w:lineRule="auto" w:line="259" w:before="0" w:after="0"/>
        <w:ind w:left="0" w:hanging="0"/>
        <w:contextualSpacing/>
        <w:jc w:val="both"/>
        <w:rPr>
          <w:rFonts w:ascii="Arial" w:hAnsi="Arial" w:eastAsia="Times New Roman" w:cs="Arial"/>
          <w:color w:val="auto"/>
          <w:sz w:val="22"/>
        </w:rPr>
      </w:pPr>
      <w:r>
        <w:rPr>
          <w:rFonts w:eastAsia="Times New Roman" w:cs="Arial" w:ascii="Arial" w:hAnsi="Arial"/>
          <w:color w:val="auto"/>
          <w:sz w:val="22"/>
        </w:rPr>
        <w:t>Ces notifications ont été signifiées par courrier déposé par huissier, pour les informer de l’enquête parcellaire à venir. Elles étaient accompagnées de :</w:t>
      </w:r>
    </w:p>
    <w:p>
      <w:pPr>
        <w:pStyle w:val="ListParagraph"/>
        <w:spacing w:lineRule="auto" w:line="259" w:before="0" w:after="0"/>
        <w:ind w:left="0" w:hanging="0"/>
        <w:contextualSpacing/>
        <w:jc w:val="both"/>
        <w:rPr>
          <w:rFonts w:ascii="Arial" w:hAnsi="Arial" w:eastAsia="Times New Roman" w:cs="Arial"/>
          <w:color w:val="auto"/>
          <w:sz w:val="22"/>
        </w:rPr>
      </w:pPr>
      <w:r>
        <w:rPr>
          <w:rFonts w:eastAsia="Times New Roman" w:cs="Arial" w:ascii="Arial" w:hAnsi="Arial"/>
          <w:color w:val="auto"/>
          <w:sz w:val="22"/>
        </w:rPr>
      </w:r>
    </w:p>
    <w:p>
      <w:pPr>
        <w:pStyle w:val="ListParagraph"/>
        <w:spacing w:lineRule="auto" w:line="259" w:before="0" w:after="0"/>
        <w:ind w:left="0" w:hanging="0"/>
        <w:contextualSpacing/>
        <w:jc w:val="both"/>
        <w:rPr>
          <w:rFonts w:ascii="Arial" w:hAnsi="Arial" w:eastAsia="Times New Roman" w:cs="Arial"/>
          <w:color w:val="auto"/>
          <w:sz w:val="22"/>
        </w:rPr>
      </w:pPr>
      <w:r>
        <w:rPr>
          <w:rFonts w:eastAsia="Times New Roman" w:cs="Arial" w:ascii="Arial" w:hAnsi="Arial"/>
          <w:color w:val="auto"/>
          <w:sz w:val="22"/>
        </w:rPr>
      </w:r>
    </w:p>
    <w:p>
      <w:pPr>
        <w:pStyle w:val="ListParagraph"/>
        <w:spacing w:lineRule="auto" w:line="259" w:before="0" w:after="0"/>
        <w:ind w:left="0" w:hanging="0"/>
        <w:contextualSpacing/>
        <w:jc w:val="both"/>
        <w:rPr>
          <w:rFonts w:ascii="Arial" w:hAnsi="Arial" w:eastAsia="Times New Roman" w:cs="Arial"/>
          <w:color w:val="auto"/>
          <w:sz w:val="22"/>
        </w:rPr>
      </w:pPr>
      <w:r>
        <w:rPr>
          <w:rFonts w:eastAsia="Times New Roman" w:cs="Arial" w:ascii="Arial" w:hAnsi="Arial"/>
          <w:color w:val="auto"/>
          <w:sz w:val="22"/>
        </w:rPr>
      </w:r>
    </w:p>
    <w:p>
      <w:pPr>
        <w:pStyle w:val="ListParagraph"/>
        <w:numPr>
          <w:ilvl w:val="0"/>
          <w:numId w:val="11"/>
        </w:numPr>
        <w:spacing w:lineRule="auto" w:line="259" w:before="0" w:after="0"/>
        <w:ind w:left="720" w:hanging="360"/>
        <w:contextualSpacing/>
        <w:jc w:val="both"/>
        <w:rPr>
          <w:rFonts w:ascii="Arial" w:hAnsi="Arial" w:eastAsia="Times New Roman" w:cs="Arial"/>
          <w:color w:val="auto"/>
          <w:sz w:val="22"/>
        </w:rPr>
      </w:pPr>
      <w:r>
        <w:rPr>
          <w:rFonts w:eastAsia="Times New Roman" w:cs="Arial" w:ascii="Arial" w:hAnsi="Arial"/>
          <w:color w:val="auto"/>
          <w:sz w:val="22"/>
        </w:rPr>
        <w:t>la fiche de renseignements à retourner à Monsieur le Maire de GONESSE ;</w:t>
      </w:r>
    </w:p>
    <w:p>
      <w:pPr>
        <w:pStyle w:val="ListParagraph"/>
        <w:numPr>
          <w:ilvl w:val="0"/>
          <w:numId w:val="11"/>
        </w:numPr>
        <w:spacing w:lineRule="auto" w:line="259" w:before="0" w:after="0"/>
        <w:ind w:left="720" w:hanging="360"/>
        <w:contextualSpacing/>
        <w:jc w:val="both"/>
        <w:rPr>
          <w:rFonts w:ascii="Arial" w:hAnsi="Arial" w:eastAsia="Times New Roman" w:cs="Arial"/>
          <w:color w:val="auto"/>
          <w:sz w:val="22"/>
        </w:rPr>
      </w:pPr>
      <w:r>
        <w:rPr>
          <w:rFonts w:eastAsia="Times New Roman" w:cs="Arial" w:ascii="Arial" w:hAnsi="Arial"/>
          <w:color w:val="auto"/>
          <w:sz w:val="22"/>
        </w:rPr>
        <w:t>l’arrêté préfectoral n° 2022-49 du 1</w:t>
      </w:r>
      <w:r>
        <w:rPr>
          <w:rFonts w:eastAsia="Times New Roman" w:cs="Arial" w:ascii="Arial" w:hAnsi="Arial"/>
          <w:color w:val="auto"/>
          <w:sz w:val="22"/>
          <w:vertAlign w:val="superscript"/>
        </w:rPr>
        <w:t>er</w:t>
      </w:r>
      <w:r>
        <w:rPr>
          <w:rFonts w:eastAsia="Times New Roman" w:cs="Arial" w:ascii="Arial" w:hAnsi="Arial"/>
          <w:color w:val="auto"/>
          <w:sz w:val="22"/>
        </w:rPr>
        <w:t xml:space="preserve"> juin 2022 prescrivant l’ouverture de l’enquête préalable à la Déclaration d’utilité publique (DUP) conjointe à l’enquête parcellaire</w:t>
      </w:r>
    </w:p>
    <w:p>
      <w:pPr>
        <w:pStyle w:val="ListParagraph"/>
        <w:numPr>
          <w:ilvl w:val="0"/>
          <w:numId w:val="11"/>
        </w:numPr>
        <w:spacing w:lineRule="auto" w:line="259" w:before="0" w:after="0"/>
        <w:ind w:left="720" w:hanging="360"/>
        <w:contextualSpacing/>
        <w:jc w:val="both"/>
        <w:rPr>
          <w:rFonts w:ascii="Arial" w:hAnsi="Arial" w:eastAsia="Times New Roman" w:cs="Arial"/>
          <w:color w:val="auto"/>
          <w:sz w:val="22"/>
        </w:rPr>
      </w:pPr>
      <w:r>
        <w:rPr>
          <w:rFonts w:eastAsia="Times New Roman" w:cs="Arial" w:ascii="Arial" w:hAnsi="Arial"/>
          <w:color w:val="auto"/>
          <w:sz w:val="22"/>
        </w:rPr>
        <w:t>un état parcellaire</w:t>
      </w:r>
    </w:p>
    <w:p>
      <w:pPr>
        <w:pStyle w:val="ListParagraph"/>
        <w:numPr>
          <w:ilvl w:val="0"/>
          <w:numId w:val="11"/>
        </w:numPr>
        <w:spacing w:lineRule="auto" w:line="259" w:before="0" w:after="0"/>
        <w:ind w:left="720" w:hanging="360"/>
        <w:contextualSpacing/>
        <w:jc w:val="both"/>
        <w:rPr>
          <w:rFonts w:ascii="Arial" w:hAnsi="Arial" w:eastAsia="Times New Roman" w:cs="Arial"/>
          <w:color w:val="auto"/>
          <w:sz w:val="22"/>
        </w:rPr>
      </w:pPr>
      <w:r>
        <w:rPr>
          <w:rFonts w:eastAsia="Times New Roman" w:cs="Arial" w:ascii="Arial" w:hAnsi="Arial"/>
          <w:color w:val="auto"/>
          <w:sz w:val="22"/>
        </w:rPr>
        <w:t>un plan parcellaire.</w:t>
      </w:r>
    </w:p>
    <w:p>
      <w:pPr>
        <w:pStyle w:val="Normal"/>
        <w:spacing w:lineRule="auto" w:line="259" w:before="0" w:after="0"/>
        <w:ind w:left="0" w:right="861" w:hanging="0"/>
        <w:jc w:val="both"/>
        <w:rPr>
          <w:rFonts w:ascii="Arial" w:hAnsi="Arial" w:cs="Arial"/>
          <w:bCs/>
          <w:color w:val="4472C4" w:themeColor="accent1"/>
          <w:sz w:val="22"/>
        </w:rPr>
      </w:pPr>
      <w:r>
        <w:rPr>
          <w:rFonts w:cs="Arial" w:ascii="Arial" w:hAnsi="Arial"/>
          <w:bCs/>
          <w:color w:val="4472C4" w:themeColor="accent1"/>
          <w:sz w:val="22"/>
        </w:rPr>
      </w:r>
    </w:p>
    <w:p>
      <w:pPr>
        <w:pStyle w:val="Normal"/>
        <w:spacing w:lineRule="auto" w:line="259" w:before="0" w:after="158"/>
        <w:ind w:left="31" w:right="861" w:firstLine="329"/>
        <w:jc w:val="both"/>
        <w:rPr>
          <w:rFonts w:ascii="Arial" w:hAnsi="Arial" w:cs="Arial"/>
          <w:bCs/>
          <w:color w:val="4472C4" w:themeColor="accent1"/>
          <w:sz w:val="22"/>
        </w:rPr>
      </w:pPr>
      <w:r>
        <w:rPr>
          <w:rFonts w:cs="Arial" w:ascii="Arial" w:hAnsi="Arial"/>
          <w:b/>
          <w:color w:val="auto"/>
          <w:sz w:val="22"/>
        </w:rPr>
        <w:t>Les retours des notifications</w:t>
      </w:r>
    </w:p>
    <w:p>
      <w:pPr>
        <w:pStyle w:val="ListParagraph"/>
        <w:spacing w:lineRule="auto" w:line="259" w:before="0" w:after="158"/>
        <w:ind w:left="1440" w:right="861" w:hanging="0"/>
        <w:contextualSpacing/>
        <w:jc w:val="both"/>
        <w:rPr>
          <w:rFonts w:ascii="Arial" w:hAnsi="Arial" w:cs="Arial"/>
          <w:bCs/>
          <w:color w:val="4472C4" w:themeColor="accent1"/>
          <w:sz w:val="22"/>
        </w:rPr>
      </w:pPr>
      <w:r>
        <w:rPr>
          <w:rFonts w:cs="Arial" w:ascii="Arial" w:hAnsi="Arial"/>
          <w:bCs/>
          <w:color w:val="4472C4" w:themeColor="accent1"/>
          <w:sz w:val="22"/>
        </w:rPr>
      </w:r>
    </w:p>
    <w:p>
      <w:pPr>
        <w:pStyle w:val="ListParagraph"/>
        <w:spacing w:lineRule="auto" w:line="259" w:before="0" w:after="0"/>
        <w:ind w:left="0" w:hanging="0"/>
        <w:contextualSpacing/>
        <w:jc w:val="both"/>
        <w:rPr>
          <w:rFonts w:ascii="Arial" w:hAnsi="Arial" w:eastAsia="Times New Roman" w:cs="Arial"/>
          <w:color w:val="4472C4" w:themeColor="accent1"/>
          <w:sz w:val="22"/>
        </w:rPr>
      </w:pPr>
      <w:r>
        <w:rPr>
          <w:rFonts w:eastAsia="Times New Roman" w:cs="Arial" w:ascii="Arial" w:hAnsi="Arial"/>
          <w:color w:val="auto"/>
          <w:sz w:val="22"/>
        </w:rPr>
        <w:t>Sur les 8 notifications délivrées par huissier, une seule n’a pu être remise en main propre, l’adresse ayant été vérifiée mais personne ne répondant aux appels. Un avis de passage a été laissé au domicile de l’intéressée et la copie de l’acte d’huissier correspondant a été déposé sous pli fermé à son étude.</w:t>
      </w:r>
    </w:p>
    <w:p>
      <w:pPr>
        <w:pStyle w:val="Normal"/>
        <w:spacing w:lineRule="auto" w:line="259" w:before="0" w:after="0"/>
        <w:ind w:left="0" w:hanging="0"/>
        <w:jc w:val="both"/>
        <w:rPr>
          <w:rFonts w:ascii="Arial" w:hAnsi="Arial" w:eastAsia="Times New Roman" w:cs="Arial"/>
          <w:color w:val="4472C4" w:themeColor="accent1"/>
          <w:sz w:val="22"/>
        </w:rPr>
      </w:pPr>
      <w:r>
        <w:rPr>
          <w:rFonts w:eastAsia="Times New Roman" w:cs="Arial" w:ascii="Arial" w:hAnsi="Arial"/>
          <w:color w:val="4472C4" w:themeColor="accent1"/>
          <w:sz w:val="22"/>
        </w:rPr>
      </w:r>
    </w:p>
    <w:p>
      <w:pPr>
        <w:pStyle w:val="Normal"/>
        <w:spacing w:lineRule="auto" w:line="259" w:before="0" w:after="158"/>
        <w:ind w:left="31" w:right="861" w:hanging="0"/>
        <w:jc w:val="both"/>
        <w:rPr>
          <w:rFonts w:ascii="Arial" w:hAnsi="Arial" w:cs="Arial"/>
          <w:bCs/>
          <w:color w:val="auto"/>
          <w:sz w:val="22"/>
        </w:rPr>
      </w:pPr>
      <w:r>
        <w:rPr>
          <w:rFonts w:cs="Arial" w:ascii="Arial" w:hAnsi="Arial"/>
          <w:b/>
          <w:color w:val="auto"/>
          <w:sz w:val="22"/>
        </w:rPr>
        <w:t xml:space="preserve">      </w:t>
      </w:r>
      <w:r>
        <w:rPr>
          <w:rFonts w:cs="Arial" w:ascii="Arial" w:hAnsi="Arial"/>
          <w:b/>
          <w:color w:val="auto"/>
          <w:sz w:val="22"/>
        </w:rPr>
        <w:t>Les fiches de renseignements</w:t>
      </w:r>
    </w:p>
    <w:p>
      <w:pPr>
        <w:pStyle w:val="Normal"/>
        <w:spacing w:lineRule="auto" w:line="259" w:before="0" w:after="158"/>
        <w:ind w:left="0" w:hanging="0"/>
        <w:jc w:val="both"/>
        <w:rPr>
          <w:rFonts w:ascii="Arial" w:hAnsi="Arial" w:cs="Arial"/>
          <w:bCs/>
          <w:color w:val="auto"/>
          <w:sz w:val="22"/>
        </w:rPr>
      </w:pPr>
      <w:r>
        <w:rPr>
          <w:rFonts w:cs="Arial" w:ascii="Arial" w:hAnsi="Arial"/>
          <w:bCs/>
          <w:color w:val="auto"/>
          <w:sz w:val="22"/>
        </w:rPr>
        <w:t>1 couple de copropriétaire a remis les deux fiches de renseignements prévues pour leur identification, lors de la permanence du 5 février 2024.</w:t>
      </w:r>
    </w:p>
    <w:p>
      <w:pPr>
        <w:pStyle w:val="Normal"/>
        <w:spacing w:lineRule="auto" w:line="259" w:before="0" w:after="158"/>
        <w:ind w:left="0" w:hanging="0"/>
        <w:jc w:val="both"/>
        <w:rPr>
          <w:rFonts w:ascii="Arial" w:hAnsi="Arial" w:cs="Arial"/>
          <w:bCs/>
          <w:color w:val="auto"/>
          <w:sz w:val="22"/>
        </w:rPr>
      </w:pPr>
      <w:r>
        <w:rPr>
          <w:rFonts w:cs="Arial" w:ascii="Arial" w:hAnsi="Arial"/>
          <w:bCs/>
          <w:color w:val="auto"/>
          <w:sz w:val="22"/>
        </w:rPr>
      </w:r>
    </w:p>
    <w:p>
      <w:pPr>
        <w:pStyle w:val="Normal"/>
        <w:spacing w:lineRule="auto" w:line="259" w:before="0" w:after="158"/>
        <w:ind w:left="31" w:hanging="0"/>
        <w:jc w:val="both"/>
        <w:rPr>
          <w:rFonts w:ascii="Arial" w:hAnsi="Arial" w:cs="Arial"/>
          <w:bCs/>
          <w:color w:val="auto"/>
          <w:sz w:val="22"/>
        </w:rPr>
      </w:pPr>
      <w:r>
        <w:rPr>
          <w:rFonts w:cs="Arial" w:ascii="Arial" w:hAnsi="Arial"/>
          <w:b/>
          <w:color w:val="auto"/>
          <w:sz w:val="22"/>
        </w:rPr>
        <w:t>Bilan sur l’identification des propriétaires</w:t>
      </w:r>
    </w:p>
    <w:p>
      <w:pPr>
        <w:pStyle w:val="ListParagraph"/>
        <w:spacing w:lineRule="auto" w:line="259" w:before="0" w:after="158"/>
        <w:ind w:left="0" w:hanging="0"/>
        <w:contextualSpacing/>
        <w:jc w:val="both"/>
        <w:rPr>
          <w:rFonts w:ascii="Arial" w:hAnsi="Arial" w:cs="Arial"/>
          <w:b/>
          <w:b/>
          <w:color w:val="auto"/>
          <w:sz w:val="22"/>
        </w:rPr>
      </w:pPr>
      <w:r>
        <w:rPr>
          <w:rFonts w:cs="Arial" w:ascii="Arial" w:hAnsi="Arial"/>
          <w:b/>
          <w:color w:val="auto"/>
          <w:sz w:val="22"/>
        </w:rPr>
      </w:r>
    </w:p>
    <w:p>
      <w:pPr>
        <w:pStyle w:val="ListParagraph"/>
        <w:spacing w:lineRule="auto" w:line="259" w:before="0" w:after="158"/>
        <w:ind w:left="0" w:hanging="0"/>
        <w:contextualSpacing/>
        <w:jc w:val="both"/>
        <w:rPr>
          <w:rFonts w:ascii="Arial" w:hAnsi="Arial" w:cs="Arial"/>
          <w:bCs/>
          <w:color w:val="auto"/>
          <w:sz w:val="22"/>
        </w:rPr>
      </w:pPr>
      <w:r>
        <w:rPr>
          <w:rFonts w:cs="Arial" w:ascii="Arial" w:hAnsi="Arial"/>
          <w:bCs/>
          <w:color w:val="auto"/>
          <w:sz w:val="22"/>
        </w:rPr>
        <w:t>A la lecture des retours du courrier de notification, il est constaté qu’aucun des questionnaires retournés n’a modifié les superficies des lots.</w:t>
      </w:r>
    </w:p>
    <w:p>
      <w:pPr>
        <w:pStyle w:val="ListParagraph"/>
        <w:spacing w:lineRule="auto" w:line="259" w:before="0" w:after="158"/>
        <w:ind w:left="0" w:hanging="0"/>
        <w:contextualSpacing/>
        <w:jc w:val="both"/>
        <w:rPr>
          <w:rFonts w:ascii="Arial" w:hAnsi="Arial" w:cs="Arial"/>
          <w:bCs/>
          <w:color w:val="4472C4" w:themeColor="accent1"/>
          <w:sz w:val="22"/>
        </w:rPr>
      </w:pPr>
      <w:r>
        <w:rPr>
          <w:rFonts w:cs="Arial" w:ascii="Arial" w:hAnsi="Arial"/>
          <w:bCs/>
          <w:color w:val="4472C4" w:themeColor="accent1"/>
          <w:sz w:val="22"/>
        </w:rPr>
      </w:r>
    </w:p>
    <w:p>
      <w:pPr>
        <w:pStyle w:val="ListParagraph"/>
        <w:spacing w:lineRule="auto" w:line="259" w:before="0" w:after="158"/>
        <w:ind w:left="0" w:hanging="0"/>
        <w:contextualSpacing/>
        <w:jc w:val="both"/>
        <w:rPr>
          <w:rFonts w:ascii="Arial" w:hAnsi="Arial" w:cs="Arial"/>
          <w:bCs/>
          <w:color w:val="4472C4" w:themeColor="accent1"/>
          <w:sz w:val="22"/>
        </w:rPr>
      </w:pPr>
      <w:r>
        <w:rPr>
          <w:rFonts w:cs="Arial" w:ascii="Arial" w:hAnsi="Arial"/>
          <w:bCs/>
          <w:color w:val="4472C4" w:themeColor="accent1"/>
          <w:sz w:val="22"/>
        </w:rPr>
      </w:r>
    </w:p>
    <w:p>
      <w:pPr>
        <w:pStyle w:val="Normal"/>
        <w:spacing w:lineRule="auto" w:line="259" w:before="0" w:after="158"/>
        <w:jc w:val="both"/>
        <w:rPr>
          <w:rFonts w:ascii="Arial" w:hAnsi="Arial" w:cs="Arial"/>
          <w:bCs/>
          <w:color w:val="auto"/>
          <w:sz w:val="22"/>
        </w:rPr>
      </w:pPr>
      <w:r>
        <w:rPr>
          <w:rFonts w:cs="Arial" w:ascii="Arial" w:hAnsi="Arial"/>
          <w:b/>
          <w:color w:val="auto"/>
          <w:sz w:val="22"/>
        </w:rPr>
        <w:t>Avis et conclusion du commissaire-enquêteur sur l’enquête parcellaire</w:t>
      </w:r>
    </w:p>
    <w:p>
      <w:pPr>
        <w:pStyle w:val="Normal"/>
        <w:spacing w:lineRule="auto" w:line="259" w:before="0" w:after="158"/>
        <w:jc w:val="both"/>
        <w:rPr>
          <w:rFonts w:ascii="Arial" w:hAnsi="Arial" w:cs="Arial"/>
          <w:b/>
          <w:b/>
          <w:color w:val="auto"/>
          <w:sz w:val="22"/>
        </w:rPr>
      </w:pPr>
      <w:r>
        <w:rPr>
          <w:rFonts w:cs="Arial" w:ascii="Arial" w:hAnsi="Arial"/>
          <w:b/>
          <w:color w:val="auto"/>
          <w:sz w:val="22"/>
        </w:rPr>
        <w:t xml:space="preserve">      </w:t>
      </w:r>
    </w:p>
    <w:p>
      <w:pPr>
        <w:pStyle w:val="Normal"/>
        <w:spacing w:lineRule="auto" w:line="259" w:before="0" w:after="158"/>
        <w:ind w:left="31" w:firstLine="677"/>
        <w:jc w:val="both"/>
        <w:rPr>
          <w:rFonts w:ascii="Arial" w:hAnsi="Arial" w:cs="Arial"/>
          <w:bCs/>
          <w:color w:val="auto"/>
          <w:sz w:val="22"/>
        </w:rPr>
      </w:pPr>
      <w:r>
        <w:rPr>
          <w:rFonts w:cs="Arial" w:ascii="Arial" w:hAnsi="Arial"/>
          <w:b/>
          <w:color w:val="auto"/>
          <w:sz w:val="22"/>
        </w:rPr>
        <w:t>Sur la régularité de l’enquête</w:t>
      </w:r>
    </w:p>
    <w:p>
      <w:pPr>
        <w:pStyle w:val="ListParagraph"/>
        <w:spacing w:lineRule="auto" w:line="259" w:before="0" w:after="158"/>
        <w:ind w:left="1440" w:hanging="0"/>
        <w:contextualSpacing/>
        <w:jc w:val="both"/>
        <w:rPr>
          <w:rFonts w:ascii="Arial" w:hAnsi="Arial" w:cs="Arial"/>
          <w:bCs/>
          <w:color w:val="auto"/>
          <w:sz w:val="22"/>
        </w:rPr>
      </w:pPr>
      <w:r>
        <w:rPr>
          <w:rFonts w:cs="Arial" w:ascii="Arial" w:hAnsi="Arial"/>
          <w:b/>
          <w:color w:val="auto"/>
          <w:sz w:val="22"/>
        </w:rPr>
        <w:t>Les procédures</w:t>
      </w:r>
    </w:p>
    <w:p>
      <w:pPr>
        <w:pStyle w:val="Normal"/>
        <w:spacing w:lineRule="auto" w:line="259" w:before="0" w:after="158"/>
        <w:ind w:left="0" w:hanging="0"/>
        <w:jc w:val="both"/>
        <w:rPr>
          <w:rFonts w:ascii="Arial" w:hAnsi="Arial" w:cs="Arial"/>
          <w:bCs/>
          <w:color w:val="auto"/>
          <w:sz w:val="22"/>
        </w:rPr>
      </w:pPr>
      <w:r>
        <w:rPr>
          <w:rFonts w:cs="Arial" w:ascii="Arial" w:hAnsi="Arial"/>
          <w:bCs/>
          <w:color w:val="auto"/>
          <w:sz w:val="22"/>
        </w:rPr>
        <w:t>Les procédures prévues au code de l’expropriation en général et dans l’arrêté préfectoral n° 2023-17486 en particulier ont été respectées, à savoir :</w:t>
      </w:r>
    </w:p>
    <w:p>
      <w:pPr>
        <w:pStyle w:val="ListParagraph"/>
        <w:numPr>
          <w:ilvl w:val="0"/>
          <w:numId w:val="12"/>
        </w:numPr>
        <w:spacing w:lineRule="auto" w:line="259" w:before="0" w:after="158"/>
        <w:contextualSpacing/>
        <w:jc w:val="both"/>
        <w:rPr>
          <w:rFonts w:ascii="Arial" w:hAnsi="Arial" w:cs="Arial"/>
          <w:bCs/>
          <w:color w:val="auto"/>
          <w:sz w:val="22"/>
        </w:rPr>
      </w:pPr>
      <w:r>
        <w:rPr>
          <w:rFonts w:cs="Arial" w:ascii="Arial" w:hAnsi="Arial"/>
          <w:bCs/>
          <w:color w:val="auto"/>
          <w:sz w:val="22"/>
        </w:rPr>
        <w:t>la consistance du dossier, conforme à l’article R 131-3 du Code de l’expropriation ;</w:t>
      </w:r>
    </w:p>
    <w:p>
      <w:pPr>
        <w:pStyle w:val="ListParagraph"/>
        <w:spacing w:lineRule="auto" w:line="259" w:before="0" w:after="158"/>
        <w:ind w:left="360" w:hanging="0"/>
        <w:contextualSpacing/>
        <w:jc w:val="both"/>
        <w:rPr>
          <w:rFonts w:ascii="Arial" w:hAnsi="Arial" w:cs="Arial"/>
          <w:bCs/>
          <w:color w:val="auto"/>
          <w:sz w:val="22"/>
        </w:rPr>
      </w:pPr>
      <w:r>
        <w:rPr>
          <w:rFonts w:cs="Arial" w:ascii="Arial" w:hAnsi="Arial"/>
          <w:bCs/>
          <w:color w:val="auto"/>
          <w:sz w:val="22"/>
        </w:rPr>
        <w:t xml:space="preserve"> </w:t>
      </w:r>
    </w:p>
    <w:p>
      <w:pPr>
        <w:pStyle w:val="ListParagraph"/>
        <w:numPr>
          <w:ilvl w:val="0"/>
          <w:numId w:val="12"/>
        </w:numPr>
        <w:spacing w:lineRule="auto" w:line="259" w:before="0" w:after="158"/>
        <w:contextualSpacing/>
        <w:jc w:val="both"/>
        <w:rPr>
          <w:rFonts w:ascii="Arial" w:hAnsi="Arial" w:cs="Arial"/>
          <w:bCs/>
          <w:color w:val="auto"/>
          <w:sz w:val="22"/>
        </w:rPr>
      </w:pPr>
      <w:r>
        <w:rPr>
          <w:rFonts w:cs="Arial" w:ascii="Arial" w:hAnsi="Arial"/>
          <w:bCs/>
          <w:color w:val="auto"/>
          <w:sz w:val="22"/>
        </w:rPr>
        <w:t>la durée de l’enquête qui ne peut être inférieure à quinze jours (§1 Art R.131-4) ;</w:t>
      </w:r>
    </w:p>
    <w:p>
      <w:pPr>
        <w:pStyle w:val="ListParagraph"/>
        <w:rPr>
          <w:rFonts w:ascii="Arial" w:hAnsi="Arial" w:cs="Arial"/>
          <w:bCs/>
          <w:color w:val="auto"/>
          <w:sz w:val="22"/>
        </w:rPr>
      </w:pPr>
      <w:r>
        <w:rPr>
          <w:rFonts w:cs="Arial" w:ascii="Arial" w:hAnsi="Arial"/>
          <w:bCs/>
          <w:color w:val="auto"/>
          <w:sz w:val="22"/>
        </w:rPr>
      </w:r>
    </w:p>
    <w:p>
      <w:pPr>
        <w:pStyle w:val="ListParagraph"/>
        <w:numPr>
          <w:ilvl w:val="0"/>
          <w:numId w:val="12"/>
        </w:numPr>
        <w:spacing w:lineRule="auto" w:line="259" w:before="0" w:after="158"/>
        <w:contextualSpacing/>
        <w:jc w:val="both"/>
        <w:rPr>
          <w:rFonts w:ascii="Arial" w:hAnsi="Arial" w:cs="Arial"/>
          <w:bCs/>
          <w:color w:val="auto"/>
          <w:sz w:val="22"/>
        </w:rPr>
      </w:pPr>
      <w:r>
        <w:rPr>
          <w:rFonts w:cs="Arial" w:ascii="Arial" w:hAnsi="Arial"/>
          <w:bCs/>
          <w:color w:val="auto"/>
          <w:sz w:val="22"/>
        </w:rPr>
        <w:t xml:space="preserve">la mise à disposition d’un registre à feuillets non mobiles cotés et paraphés par le maire (§1 Art R.131-4) ; </w:t>
      </w:r>
    </w:p>
    <w:p>
      <w:pPr>
        <w:pStyle w:val="ListParagraph"/>
        <w:rPr>
          <w:rFonts w:ascii="Arial" w:hAnsi="Arial" w:cs="Arial"/>
          <w:bCs/>
          <w:color w:val="auto"/>
          <w:sz w:val="22"/>
        </w:rPr>
      </w:pPr>
      <w:r>
        <w:rPr>
          <w:rFonts w:cs="Arial" w:ascii="Arial" w:hAnsi="Arial"/>
          <w:bCs/>
          <w:color w:val="auto"/>
          <w:sz w:val="22"/>
        </w:rPr>
      </w:r>
    </w:p>
    <w:p>
      <w:pPr>
        <w:pStyle w:val="ListParagraph"/>
        <w:numPr>
          <w:ilvl w:val="0"/>
          <w:numId w:val="12"/>
        </w:numPr>
        <w:spacing w:lineRule="auto" w:line="259" w:before="0" w:after="158"/>
        <w:contextualSpacing/>
        <w:jc w:val="both"/>
        <w:rPr>
          <w:rFonts w:ascii="Arial" w:hAnsi="Arial" w:cs="Arial"/>
          <w:bCs/>
          <w:color w:val="auto"/>
          <w:sz w:val="22"/>
        </w:rPr>
      </w:pPr>
      <w:r>
        <w:rPr>
          <w:rFonts w:cs="Arial" w:ascii="Arial" w:hAnsi="Arial"/>
          <w:bCs/>
          <w:color w:val="auto"/>
          <w:sz w:val="22"/>
        </w:rPr>
        <w:t>les publications dans le journal « le Gand Parisien » et dans le journal « La Gazette du Val d’Oise », huit jours au moins avant le début de l’enquête (</w:t>
      </w:r>
      <w:bookmarkStart w:id="17" w:name="_Hlk109669920"/>
      <w:r>
        <w:rPr>
          <w:rFonts w:cs="Arial" w:ascii="Arial" w:hAnsi="Arial"/>
          <w:bCs/>
          <w:color w:val="auto"/>
          <w:sz w:val="22"/>
        </w:rPr>
        <w:t xml:space="preserve">Art R.131-5 </w:t>
      </w:r>
      <w:bookmarkEnd w:id="17"/>
      <w:r>
        <w:rPr>
          <w:rFonts w:cs="Arial" w:ascii="Arial" w:hAnsi="Arial"/>
          <w:bCs/>
          <w:color w:val="auto"/>
          <w:sz w:val="22"/>
        </w:rPr>
        <w:t>et article 11 de l’arrêté préfectoral) ;</w:t>
      </w:r>
    </w:p>
    <w:p>
      <w:pPr>
        <w:pStyle w:val="ListParagraph"/>
        <w:rPr>
          <w:rFonts w:ascii="Arial" w:hAnsi="Arial" w:cs="Arial"/>
          <w:bCs/>
          <w:color w:val="auto"/>
          <w:sz w:val="22"/>
        </w:rPr>
      </w:pPr>
      <w:r>
        <w:rPr>
          <w:rFonts w:cs="Arial" w:ascii="Arial" w:hAnsi="Arial"/>
          <w:bCs/>
          <w:color w:val="auto"/>
          <w:sz w:val="22"/>
        </w:rPr>
      </w:r>
    </w:p>
    <w:p>
      <w:pPr>
        <w:pStyle w:val="ListParagraph"/>
        <w:numPr>
          <w:ilvl w:val="0"/>
          <w:numId w:val="12"/>
        </w:numPr>
        <w:spacing w:lineRule="auto" w:line="259" w:before="0" w:after="158"/>
        <w:contextualSpacing/>
        <w:jc w:val="both"/>
        <w:rPr>
          <w:rFonts w:ascii="Arial" w:hAnsi="Arial" w:cs="Arial"/>
          <w:bCs/>
          <w:color w:val="auto"/>
          <w:sz w:val="22"/>
        </w:rPr>
      </w:pPr>
      <w:r>
        <w:rPr>
          <w:rFonts w:cs="Arial" w:ascii="Arial" w:hAnsi="Arial"/>
          <w:bCs/>
          <w:color w:val="auto"/>
          <w:sz w:val="22"/>
        </w:rPr>
        <w:t>l’affichage de l’avis d’enquête (Art R.131-5) en Mairie de Gonesse et sur les lieux habituels d’affichage administratif (article 11 de l’arrêté préfectoral), cette mesure a été confirmée par attestation des services de la Police Municipale de la ville de Gonesse ;</w:t>
      </w:r>
    </w:p>
    <w:p>
      <w:pPr>
        <w:pStyle w:val="ListParagraph"/>
        <w:rPr>
          <w:rFonts w:ascii="Arial" w:hAnsi="Arial" w:cs="Arial"/>
          <w:bCs/>
          <w:color w:val="auto"/>
          <w:sz w:val="22"/>
        </w:rPr>
      </w:pPr>
      <w:r>
        <w:rPr>
          <w:rFonts w:cs="Arial" w:ascii="Arial" w:hAnsi="Arial"/>
          <w:bCs/>
          <w:color w:val="auto"/>
          <w:sz w:val="22"/>
        </w:rPr>
      </w:r>
    </w:p>
    <w:p>
      <w:pPr>
        <w:pStyle w:val="ListParagraph"/>
        <w:numPr>
          <w:ilvl w:val="0"/>
          <w:numId w:val="12"/>
        </w:numPr>
        <w:spacing w:lineRule="auto" w:line="259" w:before="0" w:after="158"/>
        <w:contextualSpacing/>
        <w:jc w:val="both"/>
        <w:rPr>
          <w:rFonts w:ascii="Arial" w:hAnsi="Arial" w:cs="Arial"/>
          <w:bCs/>
          <w:color w:val="auto"/>
          <w:sz w:val="22"/>
        </w:rPr>
      </w:pPr>
      <w:r>
        <w:rPr>
          <w:rFonts w:cs="Arial" w:ascii="Arial" w:hAnsi="Arial"/>
          <w:bCs/>
          <w:color w:val="auto"/>
          <w:sz w:val="22"/>
        </w:rPr>
        <w:t>la notification individuelle du dépôt de dossier à la mairie faite par l’expropriant par lettre remise par huissier au domicile des ayant droits des trois propriétaires indivis  n’ayant pas signé d’acte de vente, terminée 3 jours avant le début de l’enquête (article 6 de l’arrêté préfectoral) ;</w:t>
      </w:r>
    </w:p>
    <w:p>
      <w:pPr>
        <w:pStyle w:val="ListParagraph"/>
        <w:rPr>
          <w:rFonts w:ascii="Arial" w:hAnsi="Arial" w:cs="Arial"/>
          <w:bCs/>
          <w:color w:val="auto"/>
          <w:sz w:val="22"/>
        </w:rPr>
      </w:pPr>
      <w:r>
        <w:rPr>
          <w:rFonts w:cs="Arial" w:ascii="Arial" w:hAnsi="Arial"/>
          <w:bCs/>
          <w:color w:val="auto"/>
          <w:sz w:val="22"/>
        </w:rPr>
      </w:r>
    </w:p>
    <w:p>
      <w:pPr>
        <w:pStyle w:val="ListParagraph"/>
        <w:numPr>
          <w:ilvl w:val="0"/>
          <w:numId w:val="12"/>
        </w:numPr>
        <w:spacing w:lineRule="auto" w:line="259" w:before="0" w:after="158"/>
        <w:contextualSpacing/>
        <w:jc w:val="both"/>
        <w:rPr>
          <w:rFonts w:ascii="Arial" w:hAnsi="Arial" w:cs="Arial"/>
          <w:bCs/>
          <w:color w:val="auto"/>
          <w:sz w:val="22"/>
        </w:rPr>
      </w:pPr>
      <w:r>
        <w:rPr>
          <w:rFonts w:cs="Arial" w:ascii="Arial" w:hAnsi="Arial"/>
          <w:bCs/>
          <w:color w:val="auto"/>
          <w:sz w:val="22"/>
        </w:rPr>
        <w:t>la remise du registre clos par le maire à la fin de l’enquête et remis au commissaire enquêteur dans le délai de 24 heures (Art R.112-18).</w:t>
      </w:r>
    </w:p>
    <w:p>
      <w:pPr>
        <w:pStyle w:val="ListParagraph"/>
        <w:spacing w:lineRule="auto" w:line="259" w:before="0" w:after="158"/>
        <w:ind w:left="360" w:right="861" w:hanging="0"/>
        <w:contextualSpacing/>
        <w:jc w:val="both"/>
        <w:rPr>
          <w:rFonts w:ascii="Arial" w:hAnsi="Arial" w:cs="Arial"/>
          <w:bCs/>
          <w:color w:val="4472C4" w:themeColor="accent1"/>
          <w:sz w:val="22"/>
        </w:rPr>
      </w:pPr>
      <w:r>
        <w:rPr>
          <w:rFonts w:cs="Arial" w:ascii="Arial" w:hAnsi="Arial"/>
          <w:bCs/>
          <w:color w:val="4472C4" w:themeColor="accent1"/>
          <w:sz w:val="22"/>
        </w:rPr>
      </w:r>
    </w:p>
    <w:p>
      <w:pPr>
        <w:pStyle w:val="Normal"/>
        <w:spacing w:lineRule="auto" w:line="259" w:before="0" w:after="158"/>
        <w:ind w:left="739" w:firstLine="677"/>
        <w:jc w:val="both"/>
        <w:rPr>
          <w:rFonts w:ascii="Arial" w:hAnsi="Arial" w:cs="Arial"/>
          <w:bCs/>
          <w:color w:val="auto"/>
          <w:sz w:val="22"/>
        </w:rPr>
      </w:pPr>
      <w:r>
        <w:rPr>
          <w:rFonts w:cs="Arial" w:ascii="Arial" w:hAnsi="Arial"/>
          <w:b/>
          <w:color w:val="auto"/>
          <w:sz w:val="22"/>
        </w:rPr>
        <w:t>Le déroulement de l’enquête proprement dit</w:t>
      </w:r>
    </w:p>
    <w:p>
      <w:pPr>
        <w:pStyle w:val="Normal"/>
        <w:spacing w:lineRule="auto" w:line="259" w:before="0" w:after="158"/>
        <w:ind w:left="0" w:hanging="0"/>
        <w:jc w:val="both"/>
        <w:rPr>
          <w:rFonts w:ascii="Arial" w:hAnsi="Arial" w:cs="Arial"/>
          <w:bCs/>
          <w:color w:val="auto"/>
          <w:sz w:val="22"/>
        </w:rPr>
      </w:pPr>
      <w:r>
        <w:rPr>
          <w:rFonts w:cs="Arial" w:ascii="Arial" w:hAnsi="Arial"/>
          <w:bCs/>
          <w:color w:val="auto"/>
          <w:sz w:val="22"/>
        </w:rPr>
        <w:t>L’enquête s’est déroulée dans de bonnes conditions d’accueil et de mise à disposition des dossiers et des registres.</w:t>
      </w:r>
    </w:p>
    <w:p>
      <w:pPr>
        <w:pStyle w:val="Normal"/>
        <w:spacing w:lineRule="auto" w:line="259" w:before="0" w:after="158"/>
        <w:ind w:left="0" w:hanging="0"/>
        <w:jc w:val="both"/>
        <w:rPr>
          <w:rFonts w:ascii="Arial" w:hAnsi="Arial" w:cs="Arial"/>
          <w:bCs/>
          <w:color w:val="auto"/>
          <w:sz w:val="22"/>
        </w:rPr>
      </w:pPr>
      <w:r>
        <w:rPr>
          <w:rFonts w:cs="Arial" w:ascii="Arial" w:hAnsi="Arial"/>
          <w:bCs/>
          <w:color w:val="auto"/>
          <w:sz w:val="22"/>
        </w:rPr>
        <w:t>Les observations du public ont pu être consignées, en toute tranquillité, au siège de l’enquête qui permettait de prendre connaissance du dossier.</w:t>
      </w:r>
    </w:p>
    <w:p>
      <w:pPr>
        <w:pStyle w:val="Normal"/>
        <w:spacing w:lineRule="auto" w:line="259" w:before="0" w:after="158"/>
        <w:ind w:left="0" w:hanging="0"/>
        <w:jc w:val="both"/>
        <w:rPr>
          <w:rFonts w:ascii="Arial" w:hAnsi="Arial" w:cs="Arial"/>
          <w:bCs/>
          <w:color w:val="auto"/>
          <w:sz w:val="22"/>
        </w:rPr>
      </w:pPr>
      <w:r>
        <w:rPr>
          <w:rFonts w:cs="Arial" w:ascii="Arial" w:hAnsi="Arial"/>
          <w:bCs/>
          <w:color w:val="auto"/>
          <w:sz w:val="22"/>
        </w:rPr>
        <w:t xml:space="preserve">Le lieu de permanence du commissaire-enquêteur était situé dans la salle de réunion de l’urbanisme, et dans le bureau de la directrice de l’urbanisme le 5 février après midi, où il était possible de s’isoler pour s’exprimer en toute quiétude. </w:t>
      </w:r>
    </w:p>
    <w:p>
      <w:pPr>
        <w:pStyle w:val="Normal"/>
        <w:spacing w:lineRule="auto" w:line="259" w:before="0" w:after="158"/>
        <w:ind w:left="0" w:hanging="0"/>
        <w:jc w:val="both"/>
        <w:rPr>
          <w:rFonts w:ascii="Arial" w:hAnsi="Arial" w:cs="Arial"/>
          <w:bCs/>
          <w:color w:val="auto"/>
          <w:sz w:val="22"/>
        </w:rPr>
      </w:pPr>
      <w:r>
        <w:rPr>
          <w:rFonts w:cs="Arial" w:ascii="Arial" w:hAnsi="Arial"/>
          <w:bCs/>
          <w:color w:val="auto"/>
          <w:sz w:val="22"/>
        </w:rPr>
        <w:t>Tous les échanges se sont déroulés dans de bonnes conditions et sans incident.</w:t>
      </w:r>
    </w:p>
    <w:p>
      <w:pPr>
        <w:pStyle w:val="ListParagraph"/>
        <w:spacing w:lineRule="auto" w:line="259" w:before="0" w:after="158"/>
        <w:ind w:left="720" w:firstLine="696"/>
        <w:contextualSpacing/>
        <w:jc w:val="both"/>
        <w:rPr>
          <w:rFonts w:ascii="Arial" w:hAnsi="Arial" w:cs="Arial"/>
          <w:bCs/>
          <w:color w:val="auto"/>
          <w:sz w:val="22"/>
        </w:rPr>
      </w:pPr>
      <w:r>
        <w:rPr>
          <w:rFonts w:cs="Arial" w:ascii="Arial" w:hAnsi="Arial"/>
          <w:b/>
          <w:color w:val="auto"/>
          <w:sz w:val="22"/>
        </w:rPr>
        <w:t>Sur les emprises des biens à exproprier</w:t>
      </w:r>
    </w:p>
    <w:p>
      <w:pPr>
        <w:pStyle w:val="Normal"/>
        <w:spacing w:lineRule="auto" w:line="259" w:before="0" w:after="158"/>
        <w:ind w:left="0" w:hanging="0"/>
        <w:jc w:val="both"/>
        <w:rPr>
          <w:rFonts w:ascii="Arial" w:hAnsi="Arial" w:cs="Arial"/>
          <w:bCs/>
          <w:color w:val="auto"/>
          <w:sz w:val="22"/>
        </w:rPr>
      </w:pPr>
      <w:r>
        <w:rPr>
          <w:rFonts w:cs="Arial" w:ascii="Arial" w:hAnsi="Arial"/>
          <w:bCs/>
          <w:color w:val="auto"/>
          <w:sz w:val="22"/>
        </w:rPr>
        <w:t xml:space="preserve">Les emprises des biens à exproprier sont conformes au projet faisant l’objet de la Déclaration d’Utilité Publique (DUP). </w:t>
      </w:r>
    </w:p>
    <w:p>
      <w:pPr>
        <w:pStyle w:val="ListParagraph"/>
        <w:spacing w:lineRule="auto" w:line="259" w:before="0" w:after="158"/>
        <w:ind w:left="720" w:firstLine="696"/>
        <w:contextualSpacing/>
        <w:jc w:val="both"/>
        <w:rPr>
          <w:rFonts w:ascii="Arial" w:hAnsi="Arial" w:cs="Arial"/>
          <w:b/>
          <w:b/>
          <w:color w:val="auto"/>
          <w:sz w:val="22"/>
        </w:rPr>
      </w:pPr>
      <w:r>
        <w:rPr>
          <w:rFonts w:cs="Arial" w:ascii="Arial" w:hAnsi="Arial"/>
          <w:b/>
          <w:color w:val="auto"/>
          <w:sz w:val="22"/>
        </w:rPr>
        <w:t>Sur l’identification des propriétaires</w:t>
      </w:r>
    </w:p>
    <w:p>
      <w:pPr>
        <w:pStyle w:val="ListParagraph"/>
        <w:spacing w:lineRule="auto" w:line="259" w:before="0" w:after="0"/>
        <w:ind w:left="2" w:hanging="0"/>
        <w:contextualSpacing/>
        <w:jc w:val="both"/>
        <w:rPr>
          <w:rFonts w:ascii="Arial" w:hAnsi="Arial" w:eastAsia="Times New Roman" w:cs="Arial"/>
          <w:bCs/>
          <w:color w:val="auto"/>
          <w:sz w:val="22"/>
        </w:rPr>
      </w:pPr>
      <w:r>
        <w:rPr>
          <w:rFonts w:cs="Arial" w:ascii="Arial" w:hAnsi="Arial"/>
          <w:bCs/>
          <w:color w:val="auto"/>
          <w:sz w:val="22"/>
        </w:rPr>
        <w:t>La remise par huissier des notifications témoigne que les propriétaires indivis ont bien reçu l’information de la procédure de cessibilité au profit de la Mairie de GONESSE et de la DUP concernant l’acquisition des terrains permettant</w:t>
      </w:r>
      <w:r>
        <w:rPr>
          <w:rFonts w:eastAsia="Times New Roman" w:cs="Arial" w:ascii="Arial" w:hAnsi="Arial"/>
          <w:bCs/>
          <w:color w:val="auto"/>
          <w:sz w:val="22"/>
        </w:rPr>
        <w:t xml:space="preserve"> la réalisation du projet de lotissement dit « des Jasmins » de la ville de GONESSE. </w:t>
      </w:r>
    </w:p>
    <w:p>
      <w:pPr>
        <w:pStyle w:val="Normal"/>
        <w:spacing w:lineRule="auto" w:line="259" w:before="0" w:after="158"/>
        <w:ind w:left="0" w:hanging="0"/>
        <w:jc w:val="both"/>
        <w:rPr>
          <w:rFonts w:ascii="Arial" w:hAnsi="Arial" w:cs="Arial"/>
          <w:bCs/>
          <w:color w:val="auto"/>
          <w:sz w:val="22"/>
        </w:rPr>
      </w:pPr>
      <w:r>
        <w:rPr>
          <w:rFonts w:cs="Arial" w:ascii="Arial" w:hAnsi="Arial"/>
          <w:bCs/>
          <w:color w:val="auto"/>
          <w:sz w:val="22"/>
        </w:rPr>
      </w:r>
    </w:p>
    <w:p>
      <w:pPr>
        <w:pStyle w:val="Normal"/>
        <w:spacing w:lineRule="auto" w:line="259" w:before="0" w:after="158"/>
        <w:ind w:left="0" w:hanging="0"/>
        <w:jc w:val="both"/>
        <w:rPr>
          <w:rFonts w:ascii="Arial" w:hAnsi="Arial" w:cs="Arial"/>
          <w:bCs/>
          <w:color w:val="auto"/>
          <w:sz w:val="22"/>
        </w:rPr>
      </w:pPr>
      <w:r>
        <w:rPr>
          <w:rFonts w:cs="Arial" w:ascii="Arial" w:hAnsi="Arial"/>
          <w:bCs/>
          <w:color w:val="auto"/>
          <w:sz w:val="22"/>
        </w:rPr>
        <w:t>2 fiches de renseignements ont été dûment complétées et retournées à la Mairie de GONESSE</w:t>
      </w:r>
    </w:p>
    <w:p>
      <w:pPr>
        <w:pStyle w:val="Normal"/>
        <w:spacing w:lineRule="auto" w:line="259" w:before="0" w:after="158"/>
        <w:ind w:left="708" w:firstLine="708"/>
        <w:jc w:val="both"/>
        <w:rPr>
          <w:rFonts w:ascii="Arial" w:hAnsi="Arial" w:cs="Arial"/>
          <w:bCs/>
          <w:color w:val="auto"/>
          <w:sz w:val="22"/>
        </w:rPr>
      </w:pPr>
      <w:r>
        <w:rPr>
          <w:rFonts w:cs="Arial" w:ascii="Arial" w:hAnsi="Arial"/>
          <w:b/>
          <w:color w:val="auto"/>
          <w:sz w:val="22"/>
        </w:rPr>
        <w:t>Conclusion du commissaire-enquêteur</w:t>
      </w:r>
    </w:p>
    <w:p>
      <w:pPr>
        <w:pStyle w:val="Normal"/>
        <w:spacing w:lineRule="auto" w:line="259" w:before="0" w:after="158"/>
        <w:jc w:val="both"/>
        <w:rPr>
          <w:rFonts w:ascii="Arial" w:hAnsi="Arial" w:cs="Arial"/>
          <w:bCs/>
          <w:color w:val="auto"/>
          <w:sz w:val="22"/>
        </w:rPr>
      </w:pPr>
      <w:r>
        <w:rPr>
          <w:rFonts w:cs="Arial" w:ascii="Arial" w:hAnsi="Arial"/>
          <w:bCs/>
          <w:color w:val="auto"/>
          <w:sz w:val="22"/>
        </w:rPr>
        <w:t>Je constate que :</w:t>
      </w:r>
    </w:p>
    <w:p>
      <w:pPr>
        <w:pStyle w:val="ListParagraph"/>
        <w:numPr>
          <w:ilvl w:val="0"/>
          <w:numId w:val="32"/>
        </w:numPr>
        <w:spacing w:lineRule="auto" w:line="259" w:before="0" w:after="158"/>
        <w:contextualSpacing/>
        <w:jc w:val="both"/>
        <w:rPr>
          <w:rFonts w:ascii="Arial" w:hAnsi="Arial" w:cs="Arial"/>
          <w:bCs/>
          <w:color w:val="auto"/>
          <w:sz w:val="22"/>
        </w:rPr>
      </w:pPr>
      <w:r>
        <w:rPr>
          <w:rFonts w:cs="Arial" w:ascii="Arial" w:hAnsi="Arial"/>
          <w:bCs/>
          <w:color w:val="auto"/>
          <w:sz w:val="22"/>
        </w:rPr>
        <w:t>la liste des documents constitutifs du dossier d’enquête est conforme au code de l’expropriation,</w:t>
      </w:r>
    </w:p>
    <w:p>
      <w:pPr>
        <w:pStyle w:val="ListParagraph"/>
        <w:spacing w:lineRule="auto" w:line="259" w:before="0" w:after="158"/>
        <w:ind w:left="720" w:hanging="0"/>
        <w:contextualSpacing/>
        <w:jc w:val="both"/>
        <w:rPr>
          <w:rFonts w:ascii="Arial" w:hAnsi="Arial" w:cs="Arial"/>
          <w:bCs/>
          <w:color w:val="auto"/>
          <w:sz w:val="22"/>
        </w:rPr>
      </w:pPr>
      <w:r>
        <w:rPr>
          <w:rFonts w:cs="Arial" w:ascii="Arial" w:hAnsi="Arial"/>
          <w:bCs/>
          <w:color w:val="auto"/>
          <w:sz w:val="22"/>
        </w:rPr>
      </w:r>
    </w:p>
    <w:p>
      <w:pPr>
        <w:pStyle w:val="ListParagraph"/>
        <w:numPr>
          <w:ilvl w:val="0"/>
          <w:numId w:val="32"/>
        </w:numPr>
        <w:spacing w:lineRule="auto" w:line="259" w:before="0" w:after="158"/>
        <w:contextualSpacing/>
        <w:jc w:val="both"/>
        <w:rPr>
          <w:rFonts w:ascii="Arial" w:hAnsi="Arial" w:cs="Arial"/>
          <w:bCs/>
          <w:color w:val="auto"/>
          <w:sz w:val="22"/>
        </w:rPr>
      </w:pPr>
      <w:r>
        <w:rPr>
          <w:rFonts w:cs="Arial" w:ascii="Arial" w:hAnsi="Arial"/>
          <w:bCs/>
          <w:color w:val="auto"/>
          <w:sz w:val="22"/>
        </w:rPr>
        <w:t xml:space="preserve"> </w:t>
      </w:r>
      <w:r>
        <w:rPr>
          <w:rFonts w:cs="Arial" w:ascii="Arial" w:hAnsi="Arial"/>
          <w:bCs/>
          <w:color w:val="auto"/>
          <w:sz w:val="22"/>
        </w:rPr>
        <w:t>la décision n° E 23000057/95 de monsieur le président du tribunal administratif par de Cergy-Pontoise en date du 22 novembre 2023 me désigne comme commissaire enquêteur,</w:t>
      </w:r>
    </w:p>
    <w:p>
      <w:pPr>
        <w:pStyle w:val="ListParagraph"/>
        <w:rPr>
          <w:rFonts w:ascii="Arial" w:hAnsi="Arial" w:cs="Arial"/>
          <w:bCs/>
          <w:color w:val="auto"/>
          <w:sz w:val="22"/>
        </w:rPr>
      </w:pPr>
      <w:r>
        <w:rPr>
          <w:rFonts w:cs="Arial" w:ascii="Arial" w:hAnsi="Arial"/>
          <w:bCs/>
          <w:color w:val="auto"/>
          <w:sz w:val="22"/>
        </w:rPr>
      </w:r>
    </w:p>
    <w:p>
      <w:pPr>
        <w:pStyle w:val="ListParagraph"/>
        <w:numPr>
          <w:ilvl w:val="0"/>
          <w:numId w:val="32"/>
        </w:numPr>
        <w:spacing w:lineRule="auto" w:line="259" w:before="0" w:after="158"/>
        <w:contextualSpacing/>
        <w:jc w:val="both"/>
        <w:rPr>
          <w:rFonts w:ascii="Arial" w:hAnsi="Arial" w:cs="Arial"/>
          <w:bCs/>
          <w:color w:val="auto"/>
          <w:sz w:val="22"/>
        </w:rPr>
      </w:pPr>
      <w:r>
        <w:rPr>
          <w:rFonts w:cs="Arial" w:ascii="Arial" w:hAnsi="Arial"/>
          <w:bCs/>
          <w:color w:val="auto"/>
          <w:sz w:val="22"/>
        </w:rPr>
        <w:t>le cadre juridique du projet est défini par l’arrêté 2023-17486 de monsieur le préfet du Val d’Oise en date du 10 janvier 2024,</w:t>
      </w:r>
    </w:p>
    <w:p>
      <w:pPr>
        <w:pStyle w:val="ListParagraph"/>
        <w:rPr>
          <w:rFonts w:ascii="Arial" w:hAnsi="Arial" w:cs="Arial"/>
          <w:bCs/>
          <w:color w:val="auto"/>
          <w:sz w:val="22"/>
        </w:rPr>
      </w:pPr>
      <w:r>
        <w:rPr>
          <w:rFonts w:cs="Arial" w:ascii="Arial" w:hAnsi="Arial"/>
          <w:bCs/>
          <w:color w:val="auto"/>
          <w:sz w:val="22"/>
        </w:rPr>
      </w:r>
    </w:p>
    <w:p>
      <w:pPr>
        <w:pStyle w:val="ListParagraph"/>
        <w:spacing w:lineRule="auto" w:line="259" w:before="0" w:after="158"/>
        <w:ind w:left="720" w:hanging="0"/>
        <w:contextualSpacing/>
        <w:jc w:val="both"/>
        <w:rPr>
          <w:rFonts w:ascii="Arial" w:hAnsi="Arial" w:cs="Arial"/>
          <w:bCs/>
          <w:color w:val="auto"/>
          <w:sz w:val="22"/>
        </w:rPr>
      </w:pPr>
      <w:r>
        <w:rPr>
          <w:rFonts w:cs="Arial" w:ascii="Arial" w:hAnsi="Arial"/>
          <w:bCs/>
          <w:color w:val="auto"/>
          <w:sz w:val="22"/>
        </w:rPr>
      </w:r>
    </w:p>
    <w:p>
      <w:pPr>
        <w:pStyle w:val="ListParagraph"/>
        <w:numPr>
          <w:ilvl w:val="0"/>
          <w:numId w:val="32"/>
        </w:numPr>
        <w:spacing w:lineRule="auto" w:line="259" w:before="0" w:after="158"/>
        <w:contextualSpacing/>
        <w:jc w:val="both"/>
        <w:rPr>
          <w:rFonts w:ascii="Arial" w:hAnsi="Arial" w:cs="Arial"/>
          <w:bCs/>
          <w:color w:val="auto"/>
          <w:sz w:val="22"/>
        </w:rPr>
      </w:pPr>
      <w:r>
        <w:rPr>
          <w:rFonts w:cs="Arial" w:ascii="Arial" w:hAnsi="Arial"/>
          <w:bCs/>
          <w:color w:val="auto"/>
          <w:sz w:val="22"/>
        </w:rPr>
        <w:t>le dossier d’enquête publique a été mis à la disposition du public qui a pu le consulter et exprimer ses observations dans de bonnes conditions,</w:t>
      </w:r>
    </w:p>
    <w:p>
      <w:pPr>
        <w:pStyle w:val="ListParagraph"/>
        <w:rPr>
          <w:rFonts w:ascii="Arial" w:hAnsi="Arial" w:cs="Arial"/>
          <w:bCs/>
          <w:color w:val="auto"/>
          <w:sz w:val="22"/>
        </w:rPr>
      </w:pPr>
      <w:r>
        <w:rPr>
          <w:rFonts w:cs="Arial" w:ascii="Arial" w:hAnsi="Arial"/>
          <w:bCs/>
          <w:color w:val="auto"/>
          <w:sz w:val="22"/>
        </w:rPr>
      </w:r>
    </w:p>
    <w:p>
      <w:pPr>
        <w:pStyle w:val="ListParagraph"/>
        <w:numPr>
          <w:ilvl w:val="0"/>
          <w:numId w:val="32"/>
        </w:numPr>
        <w:spacing w:lineRule="auto" w:line="259" w:before="0" w:after="158"/>
        <w:contextualSpacing/>
        <w:jc w:val="both"/>
        <w:rPr>
          <w:rFonts w:ascii="Arial" w:hAnsi="Arial" w:cs="Arial"/>
          <w:bCs/>
          <w:color w:val="auto"/>
          <w:sz w:val="22"/>
        </w:rPr>
      </w:pPr>
      <w:r>
        <w:rPr>
          <w:rFonts w:cs="Arial" w:ascii="Arial" w:hAnsi="Arial"/>
          <w:bCs/>
          <w:color w:val="auto"/>
          <w:sz w:val="22"/>
        </w:rPr>
        <w:t>la publicité a été réalisée conformément à la réglementation,</w:t>
      </w:r>
    </w:p>
    <w:p>
      <w:pPr>
        <w:pStyle w:val="ListParagraph"/>
        <w:rPr>
          <w:rFonts w:ascii="Arial" w:hAnsi="Arial" w:cs="Arial"/>
          <w:bCs/>
          <w:color w:val="auto"/>
          <w:sz w:val="22"/>
        </w:rPr>
      </w:pPr>
      <w:r>
        <w:rPr>
          <w:rFonts w:cs="Arial" w:ascii="Arial" w:hAnsi="Arial"/>
          <w:bCs/>
          <w:color w:val="auto"/>
          <w:sz w:val="22"/>
        </w:rPr>
      </w:r>
    </w:p>
    <w:p>
      <w:pPr>
        <w:pStyle w:val="ListParagraph"/>
        <w:numPr>
          <w:ilvl w:val="0"/>
          <w:numId w:val="32"/>
        </w:numPr>
        <w:spacing w:lineRule="auto" w:line="259" w:before="0" w:after="158"/>
        <w:contextualSpacing/>
        <w:jc w:val="both"/>
        <w:rPr>
          <w:rFonts w:ascii="Arial" w:hAnsi="Arial" w:cs="Arial"/>
          <w:bCs/>
          <w:color w:val="auto"/>
          <w:sz w:val="22"/>
        </w:rPr>
      </w:pPr>
      <w:r>
        <w:rPr>
          <w:rFonts w:cs="Arial" w:ascii="Arial" w:hAnsi="Arial"/>
          <w:bCs/>
          <w:color w:val="auto"/>
          <w:sz w:val="22"/>
        </w:rPr>
        <w:t>l’information aux copropriétaires a été respectée légalement sous forme de courrier remis par huissier  par la Mairie de GONESSE,</w:t>
      </w:r>
    </w:p>
    <w:p>
      <w:pPr>
        <w:pStyle w:val="ListParagraph"/>
        <w:rPr>
          <w:rFonts w:ascii="Arial" w:hAnsi="Arial" w:cs="Arial"/>
          <w:bCs/>
          <w:color w:val="auto"/>
          <w:sz w:val="22"/>
        </w:rPr>
      </w:pPr>
      <w:r>
        <w:rPr>
          <w:rFonts w:cs="Arial" w:ascii="Arial" w:hAnsi="Arial"/>
          <w:bCs/>
          <w:color w:val="auto"/>
          <w:sz w:val="22"/>
        </w:rPr>
      </w:r>
    </w:p>
    <w:p>
      <w:pPr>
        <w:pStyle w:val="ListParagraph"/>
        <w:numPr>
          <w:ilvl w:val="0"/>
          <w:numId w:val="32"/>
        </w:numPr>
        <w:spacing w:lineRule="auto" w:line="259" w:before="0" w:after="158"/>
        <w:contextualSpacing/>
        <w:jc w:val="both"/>
        <w:rPr>
          <w:rFonts w:ascii="Arial" w:hAnsi="Arial" w:cs="Arial"/>
          <w:bCs/>
          <w:color w:val="auto"/>
          <w:sz w:val="22"/>
        </w:rPr>
      </w:pPr>
      <w:r>
        <w:rPr>
          <w:rFonts w:cs="Arial" w:ascii="Arial" w:hAnsi="Arial"/>
          <w:bCs/>
          <w:color w:val="auto"/>
          <w:sz w:val="22"/>
        </w:rPr>
        <w:t>l’emprise indiquée dans le projet de cessibilité est bien conforme à l’objet des travaux tel qu’il résulte de la procédure de DUP,</w:t>
      </w:r>
    </w:p>
    <w:p>
      <w:pPr>
        <w:pStyle w:val="ListParagraph"/>
        <w:rPr>
          <w:rFonts w:ascii="Arial" w:hAnsi="Arial" w:cs="Arial"/>
          <w:bCs/>
          <w:color w:val="auto"/>
          <w:sz w:val="22"/>
        </w:rPr>
      </w:pPr>
      <w:r>
        <w:rPr>
          <w:rFonts w:cs="Arial" w:ascii="Arial" w:hAnsi="Arial"/>
          <w:bCs/>
          <w:color w:val="auto"/>
          <w:sz w:val="22"/>
        </w:rPr>
      </w:r>
    </w:p>
    <w:p>
      <w:pPr>
        <w:pStyle w:val="ListParagraph"/>
        <w:numPr>
          <w:ilvl w:val="0"/>
          <w:numId w:val="32"/>
        </w:numPr>
        <w:spacing w:lineRule="auto" w:line="259" w:before="0" w:after="158"/>
        <w:contextualSpacing/>
        <w:jc w:val="both"/>
        <w:rPr>
          <w:rFonts w:ascii="Arial" w:hAnsi="Arial" w:cs="Arial"/>
          <w:bCs/>
          <w:color w:val="auto"/>
          <w:sz w:val="22"/>
        </w:rPr>
      </w:pPr>
      <w:r>
        <w:rPr>
          <w:rFonts w:cs="Arial" w:ascii="Arial" w:hAnsi="Arial"/>
          <w:bCs/>
          <w:color w:val="auto"/>
          <w:sz w:val="22"/>
        </w:rPr>
        <w:t>le plan parcellaire présentant le périmètre des acquisitions nécessaires a été clairement défini,</w:t>
      </w:r>
    </w:p>
    <w:p>
      <w:pPr>
        <w:pStyle w:val="ListParagraph"/>
        <w:spacing w:lineRule="auto" w:line="259" w:before="0" w:after="158"/>
        <w:ind w:left="720" w:hanging="0"/>
        <w:contextualSpacing/>
        <w:jc w:val="both"/>
        <w:rPr>
          <w:rFonts w:ascii="Arial" w:hAnsi="Arial" w:cs="Arial"/>
          <w:bCs/>
          <w:color w:val="auto"/>
          <w:sz w:val="22"/>
        </w:rPr>
      </w:pPr>
      <w:r>
        <w:rPr>
          <w:rFonts w:cs="Arial" w:ascii="Arial" w:hAnsi="Arial"/>
          <w:bCs/>
          <w:color w:val="auto"/>
          <w:sz w:val="22"/>
        </w:rPr>
      </w:r>
    </w:p>
    <w:p>
      <w:pPr>
        <w:pStyle w:val="ListParagraph"/>
        <w:numPr>
          <w:ilvl w:val="0"/>
          <w:numId w:val="32"/>
        </w:numPr>
        <w:spacing w:lineRule="auto" w:line="259" w:before="0" w:after="158"/>
        <w:contextualSpacing/>
        <w:jc w:val="both"/>
        <w:rPr>
          <w:rFonts w:ascii="Arial" w:hAnsi="Arial" w:cs="Arial"/>
          <w:bCs/>
          <w:color w:val="auto"/>
          <w:sz w:val="22"/>
        </w:rPr>
      </w:pPr>
      <w:r>
        <w:rPr>
          <w:rFonts w:cs="Arial" w:ascii="Arial" w:hAnsi="Arial"/>
          <w:bCs/>
          <w:color w:val="auto"/>
          <w:sz w:val="22"/>
        </w:rPr>
        <w:t>l’opération vise à satisfaire un besoin d’intérêt général,</w:t>
      </w:r>
    </w:p>
    <w:p>
      <w:pPr>
        <w:pStyle w:val="ListParagraph"/>
        <w:rPr>
          <w:rFonts w:ascii="Arial" w:hAnsi="Arial" w:cs="Arial"/>
          <w:bCs/>
          <w:color w:val="auto"/>
          <w:sz w:val="22"/>
        </w:rPr>
      </w:pPr>
      <w:r>
        <w:rPr>
          <w:rFonts w:cs="Arial" w:ascii="Arial" w:hAnsi="Arial"/>
          <w:bCs/>
          <w:color w:val="auto"/>
          <w:sz w:val="22"/>
        </w:rPr>
      </w:r>
    </w:p>
    <w:p>
      <w:pPr>
        <w:pStyle w:val="ListParagraph"/>
        <w:numPr>
          <w:ilvl w:val="0"/>
          <w:numId w:val="32"/>
        </w:numPr>
        <w:spacing w:lineRule="auto" w:line="259" w:before="0" w:after="158"/>
        <w:contextualSpacing/>
        <w:jc w:val="both"/>
        <w:rPr>
          <w:rFonts w:ascii="Arial" w:hAnsi="Arial" w:cs="Arial"/>
          <w:bCs/>
          <w:color w:val="auto"/>
          <w:sz w:val="22"/>
        </w:rPr>
      </w:pPr>
      <w:r>
        <w:rPr>
          <w:rFonts w:cs="Arial" w:ascii="Arial" w:hAnsi="Arial"/>
          <w:bCs/>
          <w:color w:val="auto"/>
          <w:sz w:val="22"/>
        </w:rPr>
        <w:t>aucune déclaration ne remet en cause la liste des copropriétaires tels qu’ils figurent dans le dossier d’enquête,</w:t>
      </w:r>
    </w:p>
    <w:p>
      <w:pPr>
        <w:pStyle w:val="ListParagraph"/>
        <w:rPr>
          <w:rFonts w:ascii="Arial" w:hAnsi="Arial" w:cs="Arial"/>
          <w:bCs/>
          <w:color w:val="auto"/>
          <w:sz w:val="22"/>
        </w:rPr>
      </w:pPr>
      <w:r>
        <w:rPr>
          <w:rFonts w:cs="Arial" w:ascii="Arial" w:hAnsi="Arial"/>
          <w:bCs/>
          <w:color w:val="auto"/>
          <w:sz w:val="22"/>
        </w:rPr>
      </w:r>
    </w:p>
    <w:p>
      <w:pPr>
        <w:pStyle w:val="ListParagraph"/>
        <w:numPr>
          <w:ilvl w:val="0"/>
          <w:numId w:val="32"/>
        </w:numPr>
        <w:spacing w:lineRule="auto" w:line="259" w:before="0" w:after="158"/>
        <w:contextualSpacing/>
        <w:jc w:val="both"/>
        <w:rPr>
          <w:rFonts w:ascii="Arial" w:hAnsi="Arial" w:cs="Arial"/>
          <w:bCs/>
          <w:color w:val="auto"/>
          <w:sz w:val="22"/>
        </w:rPr>
      </w:pPr>
      <w:r>
        <w:rPr>
          <w:rFonts w:cs="Arial" w:ascii="Arial" w:hAnsi="Arial"/>
          <w:bCs/>
          <w:color w:val="auto"/>
          <w:sz w:val="22"/>
        </w:rPr>
        <w:t>l’information aux propriétaires indivis de la procédure d’expropriation a été largement diffusée.</w:t>
      </w:r>
    </w:p>
    <w:p>
      <w:pPr>
        <w:pStyle w:val="Normal"/>
        <w:spacing w:lineRule="auto" w:line="259" w:before="0" w:after="158"/>
        <w:ind w:left="0" w:hanging="0"/>
        <w:jc w:val="both"/>
        <w:rPr>
          <w:rFonts w:ascii="Arial" w:hAnsi="Arial" w:cs="Arial"/>
          <w:bCs/>
          <w:color w:val="auto"/>
          <w:sz w:val="22"/>
        </w:rPr>
      </w:pPr>
      <w:r>
        <w:rPr>
          <w:rFonts w:cs="Arial" w:ascii="Arial" w:hAnsi="Arial"/>
          <w:bCs/>
          <w:color w:val="auto"/>
          <w:sz w:val="22"/>
        </w:rPr>
        <w:t>J’ai pu noter la bonne identification des propriétaires indivis expropriés, ainsi que des lots et des parcelles.</w:t>
      </w:r>
    </w:p>
    <w:p>
      <w:pPr>
        <w:pStyle w:val="Normal"/>
        <w:spacing w:lineRule="auto" w:line="259" w:before="0" w:after="158"/>
        <w:ind w:left="0" w:hanging="0"/>
        <w:jc w:val="both"/>
        <w:rPr>
          <w:rFonts w:ascii="Arial" w:hAnsi="Arial" w:cs="Arial"/>
          <w:bCs/>
          <w:color w:val="auto"/>
          <w:sz w:val="22"/>
        </w:rPr>
      </w:pPr>
      <w:r>
        <w:rPr>
          <w:rFonts w:cs="Arial" w:ascii="Arial" w:hAnsi="Arial"/>
          <w:bCs/>
          <w:color w:val="auto"/>
          <w:sz w:val="22"/>
        </w:rPr>
        <w:t>Après analyse du dossier, des observations et avis, je considère que :</w:t>
      </w:r>
    </w:p>
    <w:p>
      <w:pPr>
        <w:pStyle w:val="ListParagraph"/>
        <w:numPr>
          <w:ilvl w:val="0"/>
          <w:numId w:val="33"/>
        </w:numPr>
        <w:spacing w:lineRule="auto" w:line="259" w:before="0" w:after="158"/>
        <w:contextualSpacing/>
        <w:jc w:val="both"/>
        <w:rPr>
          <w:rFonts w:ascii="Arial" w:hAnsi="Arial" w:cs="Arial"/>
          <w:bCs/>
          <w:color w:val="auto"/>
          <w:sz w:val="22"/>
        </w:rPr>
      </w:pPr>
      <w:r>
        <w:rPr>
          <w:rFonts w:cs="Arial" w:ascii="Arial" w:hAnsi="Arial"/>
          <w:bCs/>
          <w:color w:val="auto"/>
          <w:sz w:val="22"/>
        </w:rPr>
        <w:t>le fait qu’un seul propriétaire indivis soit venu s’exprimer sur le registre d’enquête ne remet pas en cause la validité de l’enquête,</w:t>
      </w:r>
    </w:p>
    <w:p>
      <w:pPr>
        <w:pStyle w:val="ListParagraph"/>
        <w:spacing w:lineRule="auto" w:line="259" w:before="0" w:after="158"/>
        <w:ind w:left="720" w:hanging="0"/>
        <w:contextualSpacing/>
        <w:jc w:val="both"/>
        <w:rPr>
          <w:rFonts w:ascii="Arial" w:hAnsi="Arial" w:cs="Arial"/>
          <w:bCs/>
          <w:color w:val="auto"/>
          <w:sz w:val="22"/>
        </w:rPr>
      </w:pPr>
      <w:r>
        <w:rPr>
          <w:rFonts w:cs="Arial" w:ascii="Arial" w:hAnsi="Arial"/>
          <w:bCs/>
          <w:color w:val="auto"/>
          <w:sz w:val="22"/>
        </w:rPr>
      </w:r>
    </w:p>
    <w:p>
      <w:pPr>
        <w:pStyle w:val="ListParagraph"/>
        <w:numPr>
          <w:ilvl w:val="0"/>
          <w:numId w:val="33"/>
        </w:numPr>
        <w:spacing w:lineRule="auto" w:line="259" w:before="0" w:after="158"/>
        <w:contextualSpacing/>
        <w:jc w:val="both"/>
        <w:rPr>
          <w:rFonts w:ascii="Arial" w:hAnsi="Arial" w:cs="Arial"/>
          <w:bCs/>
          <w:color w:val="auto"/>
          <w:sz w:val="22"/>
        </w:rPr>
      </w:pPr>
      <w:r>
        <w:rPr>
          <w:rFonts w:cs="Arial" w:ascii="Arial" w:hAnsi="Arial"/>
          <w:bCs/>
          <w:color w:val="auto"/>
          <w:sz w:val="22"/>
        </w:rPr>
        <w:t>le non retrait des notifications déposées par voie d’huissier n’obère pas la régularité et la légalité du courrier adressé à chacun des copropriétaires.</w:t>
      </w:r>
    </w:p>
    <w:p>
      <w:pPr>
        <w:pStyle w:val="Normal"/>
        <w:spacing w:lineRule="auto" w:line="259" w:before="0" w:after="158"/>
        <w:ind w:left="0" w:hanging="0"/>
        <w:jc w:val="both"/>
        <w:rPr>
          <w:rFonts w:ascii="Arial" w:hAnsi="Arial" w:cs="Arial"/>
          <w:bCs/>
          <w:color w:val="auto"/>
          <w:sz w:val="22"/>
        </w:rPr>
      </w:pPr>
      <w:r>
        <w:rPr>
          <w:rFonts w:cs="Arial" w:ascii="Arial" w:hAnsi="Arial"/>
          <w:bCs/>
          <w:color w:val="auto"/>
          <w:sz w:val="22"/>
        </w:rPr>
        <w:t>En conséquence de ce qui précède, des éléments exposés dans l’ensemble du rapport principal et de l’avis favorable émis pour la DUP par ailleurs, j’émets un :</w:t>
      </w:r>
    </w:p>
    <w:p>
      <w:pPr>
        <w:pStyle w:val="Normal"/>
        <w:spacing w:lineRule="auto" w:line="259" w:before="0" w:after="158"/>
        <w:ind w:left="0" w:hanging="0"/>
        <w:jc w:val="both"/>
        <w:rPr>
          <w:rFonts w:ascii="Arial" w:hAnsi="Arial" w:cs="Arial"/>
          <w:bCs/>
          <w:color w:val="auto"/>
          <w:sz w:val="22"/>
        </w:rPr>
      </w:pPr>
      <w:r>
        <w:rPr>
          <w:rFonts w:cs="Arial" w:ascii="Arial" w:hAnsi="Arial"/>
          <w:bCs/>
          <w:color w:val="auto"/>
          <w:sz w:val="22"/>
        </w:rPr>
      </w:r>
    </w:p>
    <w:p>
      <w:pPr>
        <w:pStyle w:val="Normal"/>
        <w:spacing w:lineRule="auto" w:line="259" w:before="0" w:after="158"/>
        <w:ind w:left="0" w:hanging="0"/>
        <w:jc w:val="both"/>
        <w:rPr>
          <w:rFonts w:ascii="Arial" w:hAnsi="Arial" w:cs="Arial"/>
          <w:b/>
          <w:b/>
          <w:color w:val="auto"/>
          <w:sz w:val="22"/>
        </w:rPr>
      </w:pPr>
      <w:r>
        <w:rPr>
          <w:rFonts w:cs="Arial" w:ascii="Arial" w:hAnsi="Arial"/>
          <w:b/>
          <w:color w:val="auto"/>
          <w:sz w:val="22"/>
        </w:rPr>
        <w:t>AVIS FAVORABLE</w:t>
      </w:r>
    </w:p>
    <w:p>
      <w:pPr>
        <w:pStyle w:val="Normal"/>
        <w:spacing w:lineRule="auto" w:line="259" w:before="0" w:after="158"/>
        <w:ind w:left="0" w:hanging="0"/>
        <w:jc w:val="both"/>
        <w:rPr>
          <w:rFonts w:ascii="Arial" w:hAnsi="Arial" w:cs="Arial"/>
          <w:bCs/>
          <w:color w:val="auto"/>
          <w:sz w:val="22"/>
        </w:rPr>
      </w:pPr>
      <w:r>
        <w:rPr>
          <w:rFonts w:cs="Arial" w:ascii="Arial" w:hAnsi="Arial"/>
          <w:bCs/>
          <w:color w:val="auto"/>
          <w:sz w:val="22"/>
        </w:rPr>
        <w:t>sur la procédure, l’emprise des propriétés concernées, et l’identification des propriétaires de l’enquête parcellaire sollicitée par la commune de GONESSE, relative à l’acquisition en vue de la réalisation d’un projet de lotissement dit « des Jasmins », de 20 lots à construire et d’aménagement d’espaces publics.</w:t>
      </w:r>
    </w:p>
    <w:p>
      <w:pPr>
        <w:pStyle w:val="Normal"/>
        <w:spacing w:lineRule="auto" w:line="259" w:before="0" w:after="158"/>
        <w:ind w:left="0" w:hanging="0"/>
        <w:jc w:val="both"/>
        <w:rPr>
          <w:rFonts w:ascii="Arial" w:hAnsi="Arial" w:cs="Arial"/>
          <w:bCs/>
          <w:color w:val="auto"/>
          <w:sz w:val="22"/>
        </w:rPr>
      </w:pPr>
      <w:r>
        <w:rPr>
          <w:rFonts w:cs="Arial" w:ascii="Arial" w:hAnsi="Arial"/>
          <w:bCs/>
          <w:color w:val="auto"/>
          <w:sz w:val="22"/>
        </w:rPr>
      </w:r>
    </w:p>
    <w:p>
      <w:pPr>
        <w:pStyle w:val="Normal"/>
        <w:rPr>
          <w:rFonts w:ascii="Arial" w:hAnsi="Arial" w:cs="Arial"/>
          <w:b/>
          <w:b/>
          <w:color w:val="auto"/>
          <w:sz w:val="22"/>
        </w:rPr>
      </w:pPr>
      <w:r>
        <w:rPr>
          <w:rFonts w:cs="Arial" w:ascii="Arial" w:hAnsi="Arial"/>
          <w:b/>
          <w:color w:val="auto"/>
          <w:sz w:val="22"/>
        </w:rPr>
        <w:t>Le 12 mars 2024</w:t>
      </w:r>
    </w:p>
    <w:p>
      <w:pPr>
        <w:pStyle w:val="Normal"/>
        <w:rPr>
          <w:rFonts w:ascii="Arial" w:hAnsi="Arial" w:cs="Arial"/>
          <w:b/>
          <w:b/>
          <w:color w:val="auto"/>
          <w:sz w:val="22"/>
        </w:rPr>
      </w:pPr>
      <w:r>
        <w:rPr>
          <w:rFonts w:cs="Arial" w:ascii="Arial" w:hAnsi="Arial"/>
          <w:b/>
          <w:color w:val="auto"/>
          <w:sz w:val="22"/>
        </w:rPr>
        <w:t>Le commissaire enquêteur,</w:t>
      </w:r>
    </w:p>
    <w:p>
      <w:pPr>
        <w:pStyle w:val="Normal"/>
        <w:rPr>
          <w:rFonts w:ascii="Arial" w:hAnsi="Arial" w:cs="Arial"/>
          <w:b/>
          <w:b/>
          <w:color w:val="auto"/>
          <w:sz w:val="22"/>
        </w:rPr>
      </w:pPr>
      <w:r>
        <w:rPr/>
        <w:drawing>
          <wp:inline distT="0" distB="0" distL="0" distR="0">
            <wp:extent cx="1628775" cy="825500"/>
            <wp:effectExtent l="0" t="0" r="0" b="0"/>
            <wp:docPr id="36" name="Image12" descr="Une image contenant écriture manuscrite, texte, Police, Dessin d’enf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2" descr="Une image contenant écriture manuscrite, texte, Police, Dessin d’enfant&#10;&#10;Description générée automatiquement"/>
                    <pic:cNvPicPr>
                      <a:picLocks noChangeAspect="1" noChangeArrowheads="1"/>
                    </pic:cNvPicPr>
                  </pic:nvPicPr>
                  <pic:blipFill>
                    <a:blip r:embed="rId29"/>
                    <a:stretch>
                      <a:fillRect/>
                    </a:stretch>
                  </pic:blipFill>
                  <pic:spPr bwMode="auto">
                    <a:xfrm>
                      <a:off x="0" y="0"/>
                      <a:ext cx="1628775" cy="825500"/>
                    </a:xfrm>
                    <a:prstGeom prst="rect">
                      <a:avLst/>
                    </a:prstGeom>
                  </pic:spPr>
                </pic:pic>
              </a:graphicData>
            </a:graphic>
          </wp:inline>
        </w:drawing>
      </w:r>
    </w:p>
    <w:p>
      <w:pPr>
        <w:pStyle w:val="Normal"/>
        <w:widowControl/>
        <w:bidi w:val="0"/>
        <w:spacing w:lineRule="auto" w:line="266" w:before="0" w:after="149"/>
        <w:ind w:left="31" w:hanging="10"/>
        <w:jc w:val="left"/>
        <w:rPr/>
      </w:pPr>
      <w:r>
        <w:rPr>
          <w:rFonts w:cs="Arial" w:ascii="Arial" w:hAnsi="Arial"/>
          <w:b/>
          <w:color w:val="auto"/>
          <w:sz w:val="22"/>
        </w:rPr>
        <w:t xml:space="preserve">        </w:t>
      </w:r>
      <w:r>
        <w:rPr>
          <w:rFonts w:cs="Arial" w:ascii="Arial" w:hAnsi="Arial"/>
          <w:b/>
          <w:color w:val="auto"/>
          <w:sz w:val="22"/>
        </w:rPr>
        <w:t>Eric SEYNAVE</w:t>
      </w:r>
    </w:p>
    <w:sectPr>
      <w:headerReference w:type="default" r:id="rId30"/>
      <w:headerReference w:type="first" r:id="rId31"/>
      <w:footerReference w:type="default" r:id="rId32"/>
      <w:footerReference w:type="first" r:id="rId33"/>
      <w:type w:val="nextPage"/>
      <w:pgSz w:w="11906" w:h="16838"/>
      <w:pgMar w:left="1417" w:right="1417" w:header="749" w:top="1417" w:footer="709" w:bottom="1417" w:gutter="0"/>
      <w:pgNumType w:fmt="decimal"/>
      <w:formProt w:val="false"/>
      <w:titlePg/>
      <w:textDirection w:val="lrTb"/>
      <w:docGrid w:type="default" w:linePitch="326"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1"/>
    <w:family w:val="auto"/>
    <w:pitch w:val="default"/>
  </w:font>
  <w:font w:name="Garamond">
    <w:charset w:val="01"/>
    <w:family w:val="auto"/>
    <w:pitch w:val="default"/>
  </w:font>
  <w:font w:name="Calibri Light">
    <w:charset w:val="01"/>
    <w:family w:val="auto"/>
    <w:pitch w:val="default"/>
  </w:font>
  <w:font w:name="Tahoma">
    <w:charset w:val="01"/>
    <w:family w:val="auto"/>
    <w:pitch w:val="default"/>
  </w:font>
  <w:font w:name="Marianne">
    <w:charset w:val="01"/>
    <w:family w:val="auto"/>
    <w:pitch w:val="default"/>
  </w:font>
  <w:font w:name="Times New Roman">
    <w:charset w:val="01"/>
    <w:family w:val="auto"/>
    <w:pitch w:val="default"/>
  </w:font>
  <w:font w:name="Arial">
    <w:charset w:val="01"/>
    <w:family w:val="auto"/>
    <w:pitch w:val="default"/>
  </w:font>
  <w:font w:name="Arial">
    <w:charset w:val="01"/>
    <w:family w:val="swiss"/>
    <w:pitch w:val="variable"/>
  </w:font>
  <w:font w:name="Tahoma">
    <w:charset w:val="01"/>
    <w:family w:val="swiss"/>
    <w:pitch w:val="variable"/>
  </w:font>
  <w:font w:name="Wingdings">
    <w:charset w:val="02"/>
    <w:family w:val="auto"/>
    <w:pitch w:val="variable"/>
  </w:font>
  <w:font w:name="Courier New">
    <w:charset w:val="01"/>
    <w:family w:val="modern"/>
    <w:pitch w:val="fixed"/>
  </w:font>
  <w:font w:name="Calibri">
    <w:charset w:val="01"/>
    <w:family w:val="swiss"/>
    <w:pitch w:val="variable"/>
  </w:font>
  <w:font w:name="Times New Roman">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254" w:before="0" w:after="0"/>
      <w:ind w:left="0" w:right="51" w:hanging="0"/>
      <w:jc w:val="center"/>
      <w:rPr>
        <w:rFonts w:ascii="Times New Roman" w:hAnsi="Times New Roman" w:eastAsia="Times New Roman" w:cs="Times New Roman"/>
      </w:rPr>
    </w:pPr>
    <w:r>
      <w:rPr>
        <w:rFonts w:eastAsia="Calibri" w:cs="Times New Roman" w:ascii="Times New Roman" w:hAnsi="Times New Roman"/>
        <w:i/>
        <w:color w:val="1C1C1C"/>
        <w:sz w:val="18"/>
        <w:szCs w:val="18"/>
        <w:lang w:eastAsia="en-US"/>
      </w:rPr>
      <w:t>Arrêté DCPPAT/BEICEP n°2022-49 de Monsieur le Préfet des Hauts de Seine, du 1</w:t>
    </w:r>
    <w:r>
      <w:rPr>
        <w:rFonts w:eastAsia="Calibri" w:cs="Times New Roman" w:ascii="Times New Roman" w:hAnsi="Times New Roman"/>
        <w:i/>
        <w:color w:val="1C1C1C"/>
        <w:sz w:val="18"/>
        <w:szCs w:val="18"/>
        <w:vertAlign w:val="superscript"/>
        <w:lang w:eastAsia="en-US"/>
      </w:rPr>
      <w:t>er</w:t>
    </w:r>
    <w:r>
      <w:rPr>
        <w:rFonts w:eastAsia="Calibri" w:cs="Times New Roman" w:ascii="Times New Roman" w:hAnsi="Times New Roman"/>
        <w:i/>
        <w:color w:val="1C1C1C"/>
        <w:sz w:val="18"/>
        <w:szCs w:val="18"/>
        <w:lang w:eastAsia="en-US"/>
      </w:rPr>
      <w:t xml:space="preserve"> juin 2022</w:t>
    </w:r>
  </w:p>
  <w:sdt>
    <w:sdtPr>
      <w:docPartObj>
        <w:docPartGallery w:val="Page Numbers (Bottom of Page)"/>
        <w:docPartUnique w:val="true"/>
      </w:docPartObj>
      <w:id w:val="2089189234"/>
    </w:sdtPr>
    <w:sdtContent>
      <w:p>
        <w:pPr>
          <w:pStyle w:val="Pieddepage"/>
          <w:jc w:val="center"/>
          <w:rPr/>
        </w:pPr>
        <w:r>
          <w:rPr/>
          <w:t xml:space="preserve">Page - </w:t>
        </w:r>
        <w:r>
          <w:rPr/>
          <w:fldChar w:fldCharType="begin"/>
        </w:r>
        <w:r>
          <w:rPr/>
          <w:instrText> PAGE </w:instrText>
        </w:r>
        <w:r>
          <w:rPr/>
          <w:fldChar w:fldCharType="separate"/>
        </w:r>
        <w:r>
          <w:rPr/>
          <w:t>2</w:t>
        </w:r>
        <w:r>
          <w:rPr/>
          <w:fldChar w:fldCharType="end"/>
        </w:r>
        <w:r>
          <w:rPr/>
          <w:t xml:space="preserve"> -</w:t>
        </w:r>
      </w:p>
    </w:sdtContent>
  </w:sdt>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rPr/>
    </w:pPr>
    <w:r>
      <w:rPr/>
      <w:t xml:space="preserve"> </w:t>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2068410259"/>
    </w:sdtPr>
    <w:sdtContent>
      <w:p>
        <w:pPr>
          <w:pStyle w:val="Pieddepage"/>
          <w:rPr>
            <w:rStyle w:val="Pagenumber"/>
          </w:rPr>
        </w:pPr>
        <w:r>
          <w:rPr>
            <w:rStyle w:val="Pagenumber"/>
          </w:rPr>
          <w:fldChar w:fldCharType="begin"/>
        </w:r>
        <w:r>
          <w:rPr>
            <w:rStyle w:val="Pagenumber"/>
          </w:rPr>
          <w:instrText> PAGE </w:instrText>
        </w:r>
        <w:r>
          <w:rPr>
            <w:rStyle w:val="Pagenumber"/>
          </w:rPr>
          <w:fldChar w:fldCharType="separate"/>
        </w:r>
        <w:r>
          <w:rPr>
            <w:rStyle w:val="Pagenumber"/>
          </w:rPr>
          <w:t>45</w:t>
        </w:r>
        <w:r>
          <w:rPr>
            <w:rStyle w:val="Pagenumber"/>
          </w:rPr>
          <w:fldChar w:fldCharType="end"/>
        </w:r>
      </w:p>
    </w:sdtContent>
  </w:sdt>
  <w:p>
    <w:pPr>
      <w:pStyle w:val="Normal"/>
      <w:spacing w:lineRule="auto" w:line="254" w:before="0" w:after="0"/>
      <w:ind w:left="0" w:right="360" w:hanging="0"/>
      <w:jc w:val="center"/>
      <w:rPr>
        <w:rFonts w:ascii="Times New Roman" w:hAnsi="Times New Roman" w:eastAsia="Times New Roman" w:cs="Times New Roman"/>
        <w:color w:val="auto"/>
      </w:rPr>
    </w:pPr>
    <w:r>
      <w:rPr>
        <w:rFonts w:eastAsia="Calibri" w:cs="Times New Roman" w:ascii="Times New Roman" w:hAnsi="Times New Roman"/>
        <w:i/>
        <w:color w:val="auto"/>
        <w:sz w:val="18"/>
        <w:szCs w:val="18"/>
        <w:lang w:eastAsia="en-US"/>
      </w:rPr>
      <w:t>Arrêté DDT/SUAD n°2023-17486 de Monsieur le Préfet du Val d’Oise, du 10 janvier 2024</w:t>
    </w:r>
  </w:p>
  <w:p>
    <w:pPr>
      <w:pStyle w:val="Pieddepage"/>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rPr/>
    </w:pPr>
    <w:r>
      <w:rPr/>
      <w:t xml:space="preserve"> </w:t>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259" w:before="0" w:after="0"/>
      <w:ind w:left="0" w:right="51" w:hanging="0"/>
      <w:jc w:val="center"/>
      <w:rPr>
        <w:rFonts w:ascii="Times New Roman" w:hAnsi="Times New Roman" w:eastAsia="Calibri" w:cs="Times New Roman"/>
        <w:i/>
        <w:i/>
        <w:color w:val="1C1C1C"/>
        <w:sz w:val="18"/>
        <w:szCs w:val="18"/>
        <w:u w:val="none" w:color="000000"/>
        <w:lang w:eastAsia="en-US"/>
      </w:rPr>
    </w:pPr>
    <w:r>
      <w:rPr>
        <w:rFonts w:eastAsia="Times New Roman" w:cs="Times New Roman" w:ascii="Times New Roman" w:hAnsi="Times New Roman"/>
        <w:sz w:val="18"/>
      </w:rPr>
      <w:t>Enquête conjointe DUP et Parcellaire – Commune de VAUCRESSON</w:t>
    </w:r>
    <w:r>
      <w:rPr>
        <w:rFonts w:eastAsia="Times New Roman" w:cs="Times New Roman" w:ascii="Times New Roman" w:hAnsi="Times New Roman"/>
        <w:sz w:val="32"/>
      </w:rPr>
      <w:t xml:space="preserve"> – </w:t>
    </w:r>
    <w:r>
      <w:rPr>
        <w:rFonts w:eastAsia="Times New Roman" w:cs="Times New Roman" w:ascii="Times New Roman" w:hAnsi="Times New Roman"/>
        <w:sz w:val="18"/>
        <w:szCs w:val="18"/>
      </w:rPr>
      <w:t xml:space="preserve">Dossier N° </w:t>
    </w:r>
    <w:r>
      <w:rPr>
        <w:rFonts w:eastAsia="Calibri" w:cs="Times New Roman" w:ascii="Times New Roman" w:hAnsi="Times New Roman"/>
        <w:i/>
        <w:color w:val="1C1C1C"/>
        <w:sz w:val="18"/>
        <w:szCs w:val="18"/>
        <w:u w:val="none" w:color="000000"/>
        <w:lang w:eastAsia="en-US"/>
      </w:rPr>
      <w:t>E22000021/95</w:t>
    </w:r>
  </w:p>
  <w:p>
    <w:pPr>
      <w:pStyle w:val="Normal"/>
      <w:spacing w:lineRule="auto" w:line="259" w:before="0" w:after="0"/>
      <w:ind w:left="0" w:hanging="0"/>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259" w:before="0" w:after="0"/>
      <w:ind w:left="21" w:hanging="0"/>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259" w:before="0" w:after="0"/>
      <w:ind w:left="0" w:right="51" w:hanging="0"/>
      <w:jc w:val="center"/>
      <w:rPr>
        <w:rFonts w:ascii="Times New Roman" w:hAnsi="Times New Roman" w:eastAsia="Calibri" w:cs="Times New Roman"/>
        <w:i/>
        <w:i/>
        <w:iCs/>
        <w:color w:val="auto"/>
        <w:sz w:val="18"/>
        <w:szCs w:val="18"/>
        <w:u w:val="none" w:color="000000"/>
        <w:lang w:eastAsia="en-US"/>
      </w:rPr>
    </w:pPr>
    <w:r>
      <w:rPr>
        <w:rFonts w:eastAsia="Times New Roman" w:cs="Times New Roman" w:ascii="Times New Roman" w:hAnsi="Times New Roman"/>
        <w:i/>
        <w:iCs/>
        <w:color w:val="auto"/>
        <w:sz w:val="18"/>
      </w:rPr>
      <w:t>Enquête conjointe DUP et Parcellaire – Commune de GONESSE</w:t>
    </w:r>
    <w:r>
      <w:rPr>
        <w:rFonts w:eastAsia="Times New Roman" w:cs="Times New Roman" w:ascii="Times New Roman" w:hAnsi="Times New Roman"/>
        <w:i/>
        <w:iCs/>
        <w:color w:val="auto"/>
        <w:sz w:val="32"/>
      </w:rPr>
      <w:t xml:space="preserve"> – </w:t>
    </w:r>
    <w:r>
      <w:rPr>
        <w:rFonts w:eastAsia="Times New Roman" w:cs="Times New Roman" w:ascii="Times New Roman" w:hAnsi="Times New Roman"/>
        <w:i/>
        <w:iCs/>
        <w:color w:val="auto"/>
        <w:sz w:val="18"/>
        <w:szCs w:val="18"/>
      </w:rPr>
      <w:t xml:space="preserve">Dossier N° </w:t>
    </w:r>
    <w:r>
      <w:rPr>
        <w:rFonts w:eastAsia="Calibri" w:cs="Times New Roman" w:ascii="Times New Roman" w:hAnsi="Times New Roman"/>
        <w:i/>
        <w:iCs/>
        <w:color w:val="auto"/>
        <w:sz w:val="18"/>
        <w:szCs w:val="18"/>
        <w:u w:val="none" w:color="000000"/>
        <w:lang w:eastAsia="en-US"/>
      </w:rPr>
      <w:t>E23000057/95</w:t>
    </w:r>
    <w:bookmarkStart w:id="18" w:name="_Hlk110874116"/>
    <w:bookmarkEnd w:id="18"/>
  </w:p>
  <w:p>
    <w:pPr>
      <w:pStyle w:val="Normal"/>
      <w:spacing w:lineRule="auto" w:line="259" w:before="0" w:after="0"/>
      <w:ind w:left="0" w:hanging="0"/>
      <w:rPr/>
    </w:pPr>
    <w:r>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spacing w:lineRule="auto" w:line="259" w:before="0" w:after="0"/>
      <w:ind w:left="21" w:hanging="0"/>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0"/>
        </w:tabs>
        <w:ind w:left="360" w:hanging="360"/>
      </w:pPr>
    </w:lvl>
    <w:lvl w:ilvl="1">
      <w:start w:val="1"/>
      <w:numFmt w:val="decimal"/>
      <w:lvlText w:val="%1.%2."/>
      <w:lvlJc w:val="left"/>
      <w:pPr>
        <w:tabs>
          <w:tab w:val="num" w:pos="0"/>
        </w:tabs>
        <w:ind w:left="792" w:hanging="432"/>
      </w:p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2">
    <w:lvl w:ilvl="0">
      <w:start w:val="2"/>
      <w:numFmt w:val="decimal"/>
      <w:lvlText w:val="%1."/>
      <w:lvlJc w:val="left"/>
      <w:pPr>
        <w:tabs>
          <w:tab w:val="num" w:pos="0"/>
        </w:tabs>
        <w:ind w:left="360" w:hanging="360"/>
      </w:pPr>
      <w:rPr>
        <w:b/>
        <w:bCs/>
      </w:rPr>
    </w:lvl>
    <w:lvl w:ilvl="1">
      <w:start w:val="1"/>
      <w:numFmt w:val="decimal"/>
      <w:lvlText w:val="%1.%2."/>
      <w:lvlJc w:val="left"/>
      <w:pPr>
        <w:tabs>
          <w:tab w:val="num" w:pos="0"/>
        </w:tabs>
        <w:ind w:left="927" w:hanging="360"/>
      </w:pPr>
      <w:rPr>
        <w:b/>
        <w:bCs w:val="false"/>
      </w:rPr>
    </w:lvl>
    <w:lvl w:ilvl="2">
      <w:start w:val="1"/>
      <w:numFmt w:val="decimal"/>
      <w:lvlText w:val="%1.%2.%3."/>
      <w:lvlJc w:val="left"/>
      <w:pPr>
        <w:tabs>
          <w:tab w:val="num" w:pos="0"/>
        </w:tabs>
        <w:ind w:left="1440" w:hanging="720"/>
      </w:pPr>
      <w:rPr>
        <w:color w:val="auto"/>
      </w:rPr>
    </w:lvl>
    <w:lvl w:ilvl="3">
      <w:start w:val="1"/>
      <w:numFmt w:val="decimal"/>
      <w:lvlText w:val="%1.%2.%3.%4."/>
      <w:lvlJc w:val="left"/>
      <w:pPr>
        <w:tabs>
          <w:tab w:val="num" w:pos="0"/>
        </w:tabs>
        <w:ind w:left="1800" w:hanging="720"/>
      </w:pPr>
    </w:lvl>
    <w:lvl w:ilvl="4">
      <w:start w:val="1"/>
      <w:numFmt w:val="decimal"/>
      <w:lvlText w:val="%1.%2.%3.%4.%5."/>
      <w:lvlJc w:val="left"/>
      <w:pPr>
        <w:tabs>
          <w:tab w:val="num" w:pos="0"/>
        </w:tabs>
        <w:ind w:left="2520" w:hanging="1080"/>
      </w:pPr>
    </w:lvl>
    <w:lvl w:ilvl="5">
      <w:start w:val="1"/>
      <w:numFmt w:val="decimal"/>
      <w:lvlText w:val="%1.%2.%3.%4.%5.%6."/>
      <w:lvlJc w:val="left"/>
      <w:pPr>
        <w:tabs>
          <w:tab w:val="num" w:pos="0"/>
        </w:tabs>
        <w:ind w:left="2880" w:hanging="1080"/>
      </w:pPr>
    </w:lvl>
    <w:lvl w:ilvl="6">
      <w:start w:val="1"/>
      <w:numFmt w:val="decimal"/>
      <w:lvlText w:val="%1.%2.%3.%4.%5.%6.%7."/>
      <w:lvlJc w:val="left"/>
      <w:pPr>
        <w:tabs>
          <w:tab w:val="num" w:pos="0"/>
        </w:tabs>
        <w:ind w:left="3600" w:hanging="1440"/>
      </w:pPr>
    </w:lvl>
    <w:lvl w:ilvl="7">
      <w:start w:val="1"/>
      <w:numFmt w:val="decimal"/>
      <w:lvlText w:val="%1.%2.%3.%4.%5.%6.%7.%8."/>
      <w:lvlJc w:val="left"/>
      <w:pPr>
        <w:tabs>
          <w:tab w:val="num" w:pos="0"/>
        </w:tabs>
        <w:ind w:left="3960" w:hanging="1440"/>
      </w:pPr>
    </w:lvl>
    <w:lvl w:ilvl="8">
      <w:start w:val="1"/>
      <w:numFmt w:val="decimal"/>
      <w:lvlText w:val="%1.%2.%3.%4.%5.%6.%7.%8.%9."/>
      <w:lvlJc w:val="left"/>
      <w:pPr>
        <w:tabs>
          <w:tab w:val="num" w:pos="0"/>
        </w:tabs>
        <w:ind w:left="4680" w:hanging="1800"/>
      </w:pPr>
    </w:lvl>
  </w:abstractNum>
  <w:abstractNum w:abstractNumId="3">
    <w:lvl w:ilvl="0">
      <w:start w:val="2"/>
      <w:numFmt w:val="bullet"/>
      <w:lvlText w:val="-"/>
      <w:lvlJc w:val="left"/>
      <w:pPr>
        <w:tabs>
          <w:tab w:val="num" w:pos="720"/>
        </w:tabs>
        <w:ind w:left="720" w:hanging="360"/>
      </w:pPr>
      <w:rPr>
        <w:rFonts w:ascii="Arial" w:hAnsi="Arial" w:cs="Arial" w:hint="default"/>
      </w:rPr>
    </w:lvl>
    <w:lvl w:ilvl="1">
      <w:start w:val="1"/>
      <w:numFmt w:val="bullet"/>
      <w:lvlText w:val="-"/>
      <w:lvlJc w:val="left"/>
      <w:pPr>
        <w:tabs>
          <w:tab w:val="num" w:pos="1440"/>
        </w:tabs>
        <w:ind w:left="1440" w:hanging="360"/>
      </w:pPr>
      <w:rPr>
        <w:rFonts w:ascii="Tahoma" w:hAnsi="Tahoma" w:cs="Tahoma"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4">
    <w:lvl w:ilvl="0">
      <w:start w:val="2"/>
      <w:numFmt w:val="bullet"/>
      <w:lvlText w:val="-"/>
      <w:lvlJc w:val="left"/>
      <w:pPr>
        <w:tabs>
          <w:tab w:val="num" w:pos="720"/>
        </w:tabs>
        <w:ind w:left="720" w:hanging="360"/>
      </w:pPr>
      <w:rPr>
        <w:rFonts w:ascii="Arial" w:hAnsi="Arial" w:cs="Aria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5">
    <w:lvl w:ilvl="0">
      <w:start w:val="1"/>
      <w:numFmt w:val="decimal"/>
      <w:lvlText w:val="%1."/>
      <w:lvlJc w:val="left"/>
      <w:pPr>
        <w:tabs>
          <w:tab w:val="num" w:pos="0"/>
        </w:tabs>
        <w:ind w:left="360" w:hanging="360"/>
      </w:pPr>
      <w:rPr>
        <w:b/>
        <w:bCs/>
      </w:rPr>
    </w:lvl>
    <w:lvl w:ilvl="1">
      <w:start w:val="0"/>
      <w:numFmt w:val="decimal"/>
      <w:lvlText w:val="%1.%2."/>
      <w:lvlJc w:val="left"/>
      <w:pPr>
        <w:tabs>
          <w:tab w:val="num" w:pos="0"/>
        </w:tabs>
        <w:ind w:left="792" w:hanging="432"/>
      </w:p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6">
    <w:lvl w:ilvl="0">
      <w:start w:val="1"/>
      <w:numFmt w:val="decimal"/>
      <w:lvlText w:val="%1."/>
      <w:lvlJc w:val="left"/>
      <w:pPr>
        <w:tabs>
          <w:tab w:val="num" w:pos="360"/>
        </w:tabs>
        <w:ind w:left="360" w:hanging="360"/>
      </w:pPr>
    </w:lvl>
    <w:lvl w:ilvl="1">
      <w:start w:val="1"/>
      <w:numFmt w:val="bullet"/>
      <w:lvlText w:val=""/>
      <w:lvlJc w:val="left"/>
      <w:pPr>
        <w:tabs>
          <w:tab w:val="num" w:pos="0"/>
        </w:tabs>
        <w:ind w:left="1080" w:hanging="360"/>
      </w:pPr>
      <w:rPr>
        <w:rFonts w:ascii="Symbol" w:hAnsi="Symbol" w:cs="Symbol" w:hint="default"/>
      </w:r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7">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8">
    <w:lvl w:ilvl="0">
      <w:start w:val="1"/>
      <w:numFmt w:val="decimal"/>
      <w:lvlText w:val="%1."/>
      <w:lvlJc w:val="left"/>
      <w:pPr>
        <w:tabs>
          <w:tab w:val="num" w:pos="0"/>
        </w:tabs>
        <w:ind w:left="391" w:hanging="360"/>
      </w:pPr>
    </w:lvl>
    <w:lvl w:ilvl="1">
      <w:start w:val="3"/>
      <w:numFmt w:val="decimal"/>
      <w:lvlText w:val="%1.%2"/>
      <w:lvlJc w:val="left"/>
      <w:pPr>
        <w:tabs>
          <w:tab w:val="num" w:pos="0"/>
        </w:tabs>
        <w:ind w:left="391" w:hanging="360"/>
      </w:pPr>
    </w:lvl>
    <w:lvl w:ilvl="2">
      <w:start w:val="1"/>
      <w:numFmt w:val="decimal"/>
      <w:lvlText w:val="%1.%2.%3"/>
      <w:lvlJc w:val="left"/>
      <w:pPr>
        <w:tabs>
          <w:tab w:val="num" w:pos="0"/>
        </w:tabs>
        <w:ind w:left="751" w:hanging="720"/>
      </w:pPr>
    </w:lvl>
    <w:lvl w:ilvl="3">
      <w:start w:val="1"/>
      <w:numFmt w:val="decimal"/>
      <w:lvlText w:val="%1.%2.%3.%4"/>
      <w:lvlJc w:val="left"/>
      <w:pPr>
        <w:tabs>
          <w:tab w:val="num" w:pos="0"/>
        </w:tabs>
        <w:ind w:left="751" w:hanging="720"/>
      </w:pPr>
    </w:lvl>
    <w:lvl w:ilvl="4">
      <w:start w:val="1"/>
      <w:numFmt w:val="decimal"/>
      <w:lvlText w:val="%1.%2.%3.%4.%5"/>
      <w:lvlJc w:val="left"/>
      <w:pPr>
        <w:tabs>
          <w:tab w:val="num" w:pos="0"/>
        </w:tabs>
        <w:ind w:left="1111" w:hanging="1080"/>
      </w:pPr>
    </w:lvl>
    <w:lvl w:ilvl="5">
      <w:start w:val="1"/>
      <w:numFmt w:val="decimal"/>
      <w:lvlText w:val="%1.%2.%3.%4.%5.%6"/>
      <w:lvlJc w:val="left"/>
      <w:pPr>
        <w:tabs>
          <w:tab w:val="num" w:pos="0"/>
        </w:tabs>
        <w:ind w:left="1111" w:hanging="1080"/>
      </w:pPr>
    </w:lvl>
    <w:lvl w:ilvl="6">
      <w:start w:val="1"/>
      <w:numFmt w:val="decimal"/>
      <w:lvlText w:val="%1.%2.%3.%4.%5.%6.%7"/>
      <w:lvlJc w:val="left"/>
      <w:pPr>
        <w:tabs>
          <w:tab w:val="num" w:pos="0"/>
        </w:tabs>
        <w:ind w:left="1471" w:hanging="1440"/>
      </w:pPr>
    </w:lvl>
    <w:lvl w:ilvl="7">
      <w:start w:val="1"/>
      <w:numFmt w:val="decimal"/>
      <w:lvlText w:val="%1.%2.%3.%4.%5.%6.%7.%8"/>
      <w:lvlJc w:val="left"/>
      <w:pPr>
        <w:tabs>
          <w:tab w:val="num" w:pos="0"/>
        </w:tabs>
        <w:ind w:left="1471" w:hanging="1440"/>
      </w:pPr>
    </w:lvl>
    <w:lvl w:ilvl="8">
      <w:start w:val="1"/>
      <w:numFmt w:val="decimal"/>
      <w:lvlText w:val="%1.%2.%3.%4.%5.%6.%7.%8.%9"/>
      <w:lvlJc w:val="left"/>
      <w:pPr>
        <w:tabs>
          <w:tab w:val="num" w:pos="0"/>
        </w:tabs>
        <w:ind w:left="1831" w:hanging="1800"/>
      </w:pPr>
    </w:lvl>
  </w:abstractNum>
  <w:abstractNum w:abstractNumId="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lvl w:ilvl="0">
      <w:start w:val="1"/>
      <w:numFmt w:val="decimal"/>
      <w:lvlText w:val="%1."/>
      <w:lvlJc w:val="left"/>
      <w:pPr>
        <w:tabs>
          <w:tab w:val="num" w:pos="720"/>
        </w:tabs>
        <w:ind w:left="720" w:hanging="360"/>
      </w:pPr>
      <w:rPr>
        <w:b/>
      </w:rPr>
    </w:lvl>
    <w:lvl w:ilvl="1">
      <w:start w:val="1"/>
      <w:numFmt w:val="bullet"/>
      <w:lvlText w:val=""/>
      <w:lvlJc w:val="left"/>
      <w:pPr>
        <w:tabs>
          <w:tab w:val="num" w:pos="750"/>
        </w:tabs>
        <w:ind w:left="750" w:hanging="390"/>
      </w:pPr>
      <w:rPr>
        <w:rFonts w:ascii="Symbol" w:hAnsi="Symbol" w:cs="Symbol" w:hint="default"/>
      </w:rPr>
    </w:lvl>
    <w:lvl w:ilvl="2">
      <w:start w:val="1"/>
      <w:numFmt w:val="decimal"/>
      <w:lvlText w:val="%1.%2.%3"/>
      <w:lvlJc w:val="left"/>
      <w:pPr>
        <w:tabs>
          <w:tab w:val="num" w:pos="1080"/>
        </w:tabs>
        <w:ind w:left="1080" w:hanging="720"/>
      </w:pPr>
    </w:lvl>
    <w:lvl w:ilvl="3">
      <w:start w:val="1"/>
      <w:numFmt w:val="decimal"/>
      <w:lvlText w:val="%1.%2.%3.%4"/>
      <w:lvlJc w:val="left"/>
      <w:pPr>
        <w:tabs>
          <w:tab w:val="num" w:pos="1440"/>
        </w:tabs>
        <w:ind w:left="1440" w:hanging="1080"/>
      </w:pPr>
    </w:lvl>
    <w:lvl w:ilvl="4">
      <w:start w:val="1"/>
      <w:numFmt w:val="decimal"/>
      <w:lvlText w:val="%1.%2.%3.%4.%5"/>
      <w:lvlJc w:val="left"/>
      <w:pPr>
        <w:tabs>
          <w:tab w:val="num" w:pos="1440"/>
        </w:tabs>
        <w:ind w:left="1440" w:hanging="1080"/>
      </w:pPr>
    </w:lvl>
    <w:lvl w:ilvl="5">
      <w:start w:val="1"/>
      <w:numFmt w:val="decimal"/>
      <w:lvlText w:val="%1.%2.%3.%4.%5.%6"/>
      <w:lvlJc w:val="left"/>
      <w:pPr>
        <w:tabs>
          <w:tab w:val="num" w:pos="1800"/>
        </w:tabs>
        <w:ind w:left="1800" w:hanging="1440"/>
      </w:pPr>
    </w:lvl>
    <w:lvl w:ilvl="6">
      <w:start w:val="1"/>
      <w:numFmt w:val="decimal"/>
      <w:lvlText w:val="%1.%2.%3.%4.%5.%6.%7"/>
      <w:lvlJc w:val="left"/>
      <w:pPr>
        <w:tabs>
          <w:tab w:val="num" w:pos="1800"/>
        </w:tabs>
        <w:ind w:left="1800" w:hanging="1440"/>
      </w:pPr>
    </w:lvl>
    <w:lvl w:ilvl="7">
      <w:start w:val="1"/>
      <w:numFmt w:val="decimal"/>
      <w:lvlText w:val="%1.%2.%3.%4.%5.%6.%7.%8"/>
      <w:lvlJc w:val="left"/>
      <w:pPr>
        <w:tabs>
          <w:tab w:val="num" w:pos="2160"/>
        </w:tabs>
        <w:ind w:left="2160" w:hanging="1800"/>
      </w:pPr>
    </w:lvl>
    <w:lvl w:ilvl="8">
      <w:start w:val="1"/>
      <w:numFmt w:val="decimal"/>
      <w:lvlText w:val="%1.%2.%3.%4.%5.%6.%7.%8.%9"/>
      <w:lvlJc w:val="left"/>
      <w:pPr>
        <w:tabs>
          <w:tab w:val="num" w:pos="2160"/>
        </w:tabs>
        <w:ind w:left="2160" w:hanging="1800"/>
      </w:pPr>
    </w:lvl>
  </w:abstractNum>
  <w:abstractNum w:abstractNumId="11">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2">
    <w:lvl w:ilvl="0">
      <w:numFmt w:val="bullet"/>
      <w:lvlText w:val="•"/>
      <w:lvlJc w:val="left"/>
      <w:pPr>
        <w:tabs>
          <w:tab w:val="num" w:pos="0"/>
        </w:tabs>
        <w:ind w:left="360" w:hanging="360"/>
      </w:pPr>
      <w:rPr>
        <w:rFonts w:ascii="Arial" w:hAnsi="Arial" w:cs="Aria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13">
    <w:lvl w:ilvl="0">
      <w:start w:val="1"/>
      <w:numFmt w:val="decimal"/>
      <w:lvlText w:val="%1."/>
      <w:lvlJc w:val="left"/>
      <w:pPr>
        <w:tabs>
          <w:tab w:val="num" w:pos="0"/>
        </w:tabs>
        <w:ind w:left="390" w:hanging="390"/>
      </w:pPr>
    </w:lvl>
    <w:lvl w:ilvl="1">
      <w:start w:val="1"/>
      <w:numFmt w:val="decimal"/>
      <w:lvlText w:val="%1.%2."/>
      <w:lvlJc w:val="left"/>
      <w:pPr>
        <w:tabs>
          <w:tab w:val="num" w:pos="0"/>
        </w:tabs>
        <w:ind w:left="1080" w:hanging="72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2160" w:hanging="1080"/>
      </w:pPr>
    </w:lvl>
    <w:lvl w:ilvl="4">
      <w:start w:val="1"/>
      <w:numFmt w:val="decimal"/>
      <w:lvlText w:val="%1.%2.%3.%4.%5."/>
      <w:lvlJc w:val="left"/>
      <w:pPr>
        <w:tabs>
          <w:tab w:val="num" w:pos="0"/>
        </w:tabs>
        <w:ind w:left="2520" w:hanging="1080"/>
      </w:pPr>
    </w:lvl>
    <w:lvl w:ilvl="5">
      <w:start w:val="1"/>
      <w:numFmt w:val="decimal"/>
      <w:lvlText w:val="%1.%2.%3.%4.%5.%6."/>
      <w:lvlJc w:val="left"/>
      <w:pPr>
        <w:tabs>
          <w:tab w:val="num" w:pos="0"/>
        </w:tabs>
        <w:ind w:left="3240" w:hanging="1440"/>
      </w:pPr>
    </w:lvl>
    <w:lvl w:ilvl="6">
      <w:start w:val="1"/>
      <w:numFmt w:val="decimal"/>
      <w:lvlText w:val="%1.%2.%3.%4.%5.%6.%7."/>
      <w:lvlJc w:val="left"/>
      <w:pPr>
        <w:tabs>
          <w:tab w:val="num" w:pos="0"/>
        </w:tabs>
        <w:ind w:left="3600" w:hanging="1440"/>
      </w:pPr>
    </w:lvl>
    <w:lvl w:ilvl="7">
      <w:start w:val="1"/>
      <w:numFmt w:val="decimal"/>
      <w:lvlText w:val="%1.%2.%3.%4.%5.%6.%7.%8."/>
      <w:lvlJc w:val="left"/>
      <w:pPr>
        <w:tabs>
          <w:tab w:val="num" w:pos="0"/>
        </w:tabs>
        <w:ind w:left="4320" w:hanging="1800"/>
      </w:pPr>
    </w:lvl>
    <w:lvl w:ilvl="8">
      <w:start w:val="1"/>
      <w:numFmt w:val="decimal"/>
      <w:lvlText w:val="%1.%2.%3.%4.%5.%6.%7.%8.%9."/>
      <w:lvlJc w:val="left"/>
      <w:pPr>
        <w:tabs>
          <w:tab w:val="num" w:pos="0"/>
        </w:tabs>
        <w:ind w:left="5040" w:hanging="2160"/>
      </w:pPr>
    </w:lvl>
  </w:abstractNum>
  <w:abstractNum w:abstractNumId="1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5">
    <w:lvl w:ilvl="0">
      <w:start w:val="3"/>
      <w:numFmt w:val="bullet"/>
      <w:lvlText w:val="-"/>
      <w:lvlJc w:val="left"/>
      <w:pPr>
        <w:tabs>
          <w:tab w:val="num" w:pos="0"/>
        </w:tabs>
        <w:ind w:left="720" w:hanging="360"/>
      </w:pPr>
      <w:rPr>
        <w:rFonts w:ascii="Arial" w:hAnsi="Arial" w:cs="Aria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61" w:hanging="360"/>
      </w:pPr>
      <w:rPr>
        <w:rFonts w:ascii="Courier New" w:hAnsi="Courier New" w:cs="Courier New" w:hint="default"/>
      </w:rPr>
    </w:lvl>
    <w:lvl w:ilvl="2">
      <w:start w:val="1"/>
      <w:numFmt w:val="bullet"/>
      <w:lvlText w:val=""/>
      <w:lvlJc w:val="left"/>
      <w:pPr>
        <w:tabs>
          <w:tab w:val="num" w:pos="0"/>
        </w:tabs>
        <w:ind w:left="2181" w:hanging="360"/>
      </w:pPr>
      <w:rPr>
        <w:rFonts w:ascii="Wingdings" w:hAnsi="Wingdings" w:cs="Wingdings" w:hint="default"/>
      </w:rPr>
    </w:lvl>
    <w:lvl w:ilvl="3">
      <w:start w:val="1"/>
      <w:numFmt w:val="bullet"/>
      <w:lvlText w:val=""/>
      <w:lvlJc w:val="left"/>
      <w:pPr>
        <w:tabs>
          <w:tab w:val="num" w:pos="0"/>
        </w:tabs>
        <w:ind w:left="2901" w:hanging="360"/>
      </w:pPr>
      <w:rPr>
        <w:rFonts w:ascii="Symbol" w:hAnsi="Symbol" w:cs="Symbol" w:hint="default"/>
      </w:rPr>
    </w:lvl>
    <w:lvl w:ilvl="4">
      <w:start w:val="1"/>
      <w:numFmt w:val="bullet"/>
      <w:lvlText w:val="o"/>
      <w:lvlJc w:val="left"/>
      <w:pPr>
        <w:tabs>
          <w:tab w:val="num" w:pos="0"/>
        </w:tabs>
        <w:ind w:left="3621" w:hanging="360"/>
      </w:pPr>
      <w:rPr>
        <w:rFonts w:ascii="Courier New" w:hAnsi="Courier New" w:cs="Courier New" w:hint="default"/>
      </w:rPr>
    </w:lvl>
    <w:lvl w:ilvl="5">
      <w:start w:val="1"/>
      <w:numFmt w:val="bullet"/>
      <w:lvlText w:val=""/>
      <w:lvlJc w:val="left"/>
      <w:pPr>
        <w:tabs>
          <w:tab w:val="num" w:pos="0"/>
        </w:tabs>
        <w:ind w:left="4341" w:hanging="360"/>
      </w:pPr>
      <w:rPr>
        <w:rFonts w:ascii="Wingdings" w:hAnsi="Wingdings" w:cs="Wingdings" w:hint="default"/>
      </w:rPr>
    </w:lvl>
    <w:lvl w:ilvl="6">
      <w:start w:val="1"/>
      <w:numFmt w:val="bullet"/>
      <w:lvlText w:val=""/>
      <w:lvlJc w:val="left"/>
      <w:pPr>
        <w:tabs>
          <w:tab w:val="num" w:pos="0"/>
        </w:tabs>
        <w:ind w:left="5061" w:hanging="360"/>
      </w:pPr>
      <w:rPr>
        <w:rFonts w:ascii="Symbol" w:hAnsi="Symbol" w:cs="Symbol" w:hint="default"/>
      </w:rPr>
    </w:lvl>
    <w:lvl w:ilvl="7">
      <w:start w:val="1"/>
      <w:numFmt w:val="bullet"/>
      <w:lvlText w:val="o"/>
      <w:lvlJc w:val="left"/>
      <w:pPr>
        <w:tabs>
          <w:tab w:val="num" w:pos="0"/>
        </w:tabs>
        <w:ind w:left="5781" w:hanging="360"/>
      </w:pPr>
      <w:rPr>
        <w:rFonts w:ascii="Courier New" w:hAnsi="Courier New" w:cs="Courier New" w:hint="default"/>
      </w:rPr>
    </w:lvl>
    <w:lvl w:ilvl="8">
      <w:start w:val="1"/>
      <w:numFmt w:val="bullet"/>
      <w:lvlText w:val=""/>
      <w:lvlJc w:val="left"/>
      <w:pPr>
        <w:tabs>
          <w:tab w:val="num" w:pos="0"/>
        </w:tabs>
        <w:ind w:left="6501" w:hanging="360"/>
      </w:pPr>
      <w:rPr>
        <w:rFonts w:ascii="Wingdings" w:hAnsi="Wingdings" w:cs="Wingdings" w:hint="default"/>
      </w:rPr>
    </w:lvl>
  </w:abstractNum>
  <w:abstractNum w:abstractNumId="17">
    <w:lvl w:ilvl="0">
      <w:start w:val="1"/>
      <w:numFmt w:val="bullet"/>
      <w:lvlText w:val=""/>
      <w:lvlJc w:val="left"/>
      <w:pPr>
        <w:tabs>
          <w:tab w:val="num" w:pos="0"/>
        </w:tabs>
        <w:ind w:left="741" w:hanging="360"/>
      </w:pPr>
      <w:rPr>
        <w:rFonts w:ascii="Symbol" w:hAnsi="Symbol" w:cs="Symbol" w:hint="default"/>
      </w:rPr>
    </w:lvl>
    <w:lvl w:ilvl="1">
      <w:start w:val="1"/>
      <w:numFmt w:val="bullet"/>
      <w:lvlText w:val="o"/>
      <w:lvlJc w:val="left"/>
      <w:pPr>
        <w:tabs>
          <w:tab w:val="num" w:pos="0"/>
        </w:tabs>
        <w:ind w:left="1461" w:hanging="360"/>
      </w:pPr>
      <w:rPr>
        <w:rFonts w:ascii="Courier New" w:hAnsi="Courier New" w:cs="Courier New" w:hint="default"/>
      </w:rPr>
    </w:lvl>
    <w:lvl w:ilvl="2">
      <w:start w:val="1"/>
      <w:numFmt w:val="bullet"/>
      <w:lvlText w:val=""/>
      <w:lvlJc w:val="left"/>
      <w:pPr>
        <w:tabs>
          <w:tab w:val="num" w:pos="0"/>
        </w:tabs>
        <w:ind w:left="2181" w:hanging="360"/>
      </w:pPr>
      <w:rPr>
        <w:rFonts w:ascii="Wingdings" w:hAnsi="Wingdings" w:cs="Wingdings" w:hint="default"/>
      </w:rPr>
    </w:lvl>
    <w:lvl w:ilvl="3">
      <w:start w:val="1"/>
      <w:numFmt w:val="bullet"/>
      <w:lvlText w:val=""/>
      <w:lvlJc w:val="left"/>
      <w:pPr>
        <w:tabs>
          <w:tab w:val="num" w:pos="0"/>
        </w:tabs>
        <w:ind w:left="2901" w:hanging="360"/>
      </w:pPr>
      <w:rPr>
        <w:rFonts w:ascii="Symbol" w:hAnsi="Symbol" w:cs="Symbol" w:hint="default"/>
      </w:rPr>
    </w:lvl>
    <w:lvl w:ilvl="4">
      <w:start w:val="1"/>
      <w:numFmt w:val="bullet"/>
      <w:lvlText w:val="o"/>
      <w:lvlJc w:val="left"/>
      <w:pPr>
        <w:tabs>
          <w:tab w:val="num" w:pos="0"/>
        </w:tabs>
        <w:ind w:left="3621" w:hanging="360"/>
      </w:pPr>
      <w:rPr>
        <w:rFonts w:ascii="Courier New" w:hAnsi="Courier New" w:cs="Courier New" w:hint="default"/>
      </w:rPr>
    </w:lvl>
    <w:lvl w:ilvl="5">
      <w:start w:val="1"/>
      <w:numFmt w:val="bullet"/>
      <w:lvlText w:val=""/>
      <w:lvlJc w:val="left"/>
      <w:pPr>
        <w:tabs>
          <w:tab w:val="num" w:pos="0"/>
        </w:tabs>
        <w:ind w:left="4341" w:hanging="360"/>
      </w:pPr>
      <w:rPr>
        <w:rFonts w:ascii="Wingdings" w:hAnsi="Wingdings" w:cs="Wingdings" w:hint="default"/>
      </w:rPr>
    </w:lvl>
    <w:lvl w:ilvl="6">
      <w:start w:val="1"/>
      <w:numFmt w:val="bullet"/>
      <w:lvlText w:val=""/>
      <w:lvlJc w:val="left"/>
      <w:pPr>
        <w:tabs>
          <w:tab w:val="num" w:pos="0"/>
        </w:tabs>
        <w:ind w:left="5061" w:hanging="360"/>
      </w:pPr>
      <w:rPr>
        <w:rFonts w:ascii="Symbol" w:hAnsi="Symbol" w:cs="Symbol" w:hint="default"/>
      </w:rPr>
    </w:lvl>
    <w:lvl w:ilvl="7">
      <w:start w:val="1"/>
      <w:numFmt w:val="bullet"/>
      <w:lvlText w:val="o"/>
      <w:lvlJc w:val="left"/>
      <w:pPr>
        <w:tabs>
          <w:tab w:val="num" w:pos="0"/>
        </w:tabs>
        <w:ind w:left="5781" w:hanging="360"/>
      </w:pPr>
      <w:rPr>
        <w:rFonts w:ascii="Courier New" w:hAnsi="Courier New" w:cs="Courier New" w:hint="default"/>
      </w:rPr>
    </w:lvl>
    <w:lvl w:ilvl="8">
      <w:start w:val="1"/>
      <w:numFmt w:val="bullet"/>
      <w:lvlText w:val=""/>
      <w:lvlJc w:val="left"/>
      <w:pPr>
        <w:tabs>
          <w:tab w:val="num" w:pos="0"/>
        </w:tabs>
        <w:ind w:left="6501" w:hanging="360"/>
      </w:pPr>
      <w:rPr>
        <w:rFonts w:ascii="Wingdings" w:hAnsi="Wingdings" w:cs="Wingdings" w:hint="default"/>
      </w:rPr>
    </w:lvl>
  </w:abstractNum>
  <w:abstractNum w:abstractNumId="18">
    <w:lvl w:ilvl="0">
      <w:start w:val="1"/>
      <w:numFmt w:val="bullet"/>
      <w:lvlText w:val=""/>
      <w:lvlJc w:val="left"/>
      <w:pPr>
        <w:tabs>
          <w:tab w:val="num" w:pos="0"/>
        </w:tabs>
        <w:ind w:left="1068" w:hanging="360"/>
      </w:pPr>
      <w:rPr>
        <w:rFonts w:ascii="Symbol" w:hAnsi="Symbol" w:cs="Symbol" w:hint="default"/>
      </w:rPr>
    </w:lvl>
    <w:lvl w:ilvl="1">
      <w:start w:val="1"/>
      <w:numFmt w:val="bullet"/>
      <w:lvlText w:val="o"/>
      <w:lvlJc w:val="left"/>
      <w:pPr>
        <w:tabs>
          <w:tab w:val="num" w:pos="0"/>
        </w:tabs>
        <w:ind w:left="1788" w:hanging="360"/>
      </w:pPr>
      <w:rPr>
        <w:rFonts w:ascii="Courier New" w:hAnsi="Courier New" w:cs="Courier New" w:hint="default"/>
      </w:rPr>
    </w:lvl>
    <w:lvl w:ilvl="2">
      <w:start w:val="1"/>
      <w:numFmt w:val="bullet"/>
      <w:lvlText w:val=""/>
      <w:lvlJc w:val="left"/>
      <w:pPr>
        <w:tabs>
          <w:tab w:val="num" w:pos="0"/>
        </w:tabs>
        <w:ind w:left="2508" w:hanging="360"/>
      </w:pPr>
      <w:rPr>
        <w:rFonts w:ascii="Wingdings" w:hAnsi="Wingdings" w:cs="Wingdings" w:hint="default"/>
      </w:rPr>
    </w:lvl>
    <w:lvl w:ilvl="3">
      <w:start w:val="1"/>
      <w:numFmt w:val="bullet"/>
      <w:lvlText w:val=""/>
      <w:lvlJc w:val="left"/>
      <w:pPr>
        <w:tabs>
          <w:tab w:val="num" w:pos="0"/>
        </w:tabs>
        <w:ind w:left="3228" w:hanging="360"/>
      </w:pPr>
      <w:rPr>
        <w:rFonts w:ascii="Symbol" w:hAnsi="Symbol" w:cs="Symbol" w:hint="default"/>
      </w:rPr>
    </w:lvl>
    <w:lvl w:ilvl="4">
      <w:start w:val="1"/>
      <w:numFmt w:val="bullet"/>
      <w:lvlText w:val="o"/>
      <w:lvlJc w:val="left"/>
      <w:pPr>
        <w:tabs>
          <w:tab w:val="num" w:pos="0"/>
        </w:tabs>
        <w:ind w:left="3948" w:hanging="360"/>
      </w:pPr>
      <w:rPr>
        <w:rFonts w:ascii="Courier New" w:hAnsi="Courier New" w:cs="Courier New" w:hint="default"/>
      </w:rPr>
    </w:lvl>
    <w:lvl w:ilvl="5">
      <w:start w:val="1"/>
      <w:numFmt w:val="bullet"/>
      <w:lvlText w:val=""/>
      <w:lvlJc w:val="left"/>
      <w:pPr>
        <w:tabs>
          <w:tab w:val="num" w:pos="0"/>
        </w:tabs>
        <w:ind w:left="4668" w:hanging="360"/>
      </w:pPr>
      <w:rPr>
        <w:rFonts w:ascii="Wingdings" w:hAnsi="Wingdings" w:cs="Wingdings" w:hint="default"/>
      </w:rPr>
    </w:lvl>
    <w:lvl w:ilvl="6">
      <w:start w:val="1"/>
      <w:numFmt w:val="bullet"/>
      <w:lvlText w:val=""/>
      <w:lvlJc w:val="left"/>
      <w:pPr>
        <w:tabs>
          <w:tab w:val="num" w:pos="0"/>
        </w:tabs>
        <w:ind w:left="5388" w:hanging="360"/>
      </w:pPr>
      <w:rPr>
        <w:rFonts w:ascii="Symbol" w:hAnsi="Symbol" w:cs="Symbol" w:hint="default"/>
      </w:rPr>
    </w:lvl>
    <w:lvl w:ilvl="7">
      <w:start w:val="1"/>
      <w:numFmt w:val="bullet"/>
      <w:lvlText w:val="o"/>
      <w:lvlJc w:val="left"/>
      <w:pPr>
        <w:tabs>
          <w:tab w:val="num" w:pos="0"/>
        </w:tabs>
        <w:ind w:left="6108" w:hanging="360"/>
      </w:pPr>
      <w:rPr>
        <w:rFonts w:ascii="Courier New" w:hAnsi="Courier New" w:cs="Courier New" w:hint="default"/>
      </w:rPr>
    </w:lvl>
    <w:lvl w:ilvl="8">
      <w:start w:val="1"/>
      <w:numFmt w:val="bullet"/>
      <w:lvlText w:val=""/>
      <w:lvlJc w:val="left"/>
      <w:pPr>
        <w:tabs>
          <w:tab w:val="num" w:pos="0"/>
        </w:tabs>
        <w:ind w:left="6828" w:hanging="360"/>
      </w:pPr>
      <w:rPr>
        <w:rFonts w:ascii="Wingdings" w:hAnsi="Wingdings" w:cs="Wingdings" w:hint="default"/>
      </w:rPr>
    </w:lvl>
  </w:abstractNum>
  <w:abstractNum w:abstractNumId="1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0">
    <w:lvl w:ilvl="0">
      <w:numFmt w:val="bullet"/>
      <w:lvlText w:val="-"/>
      <w:lvlJc w:val="left"/>
      <w:pPr>
        <w:tabs>
          <w:tab w:val="num" w:pos="0"/>
        </w:tabs>
        <w:ind w:left="720" w:hanging="360"/>
      </w:pPr>
      <w:rPr>
        <w:rFonts w:ascii="Calibri" w:hAnsi="Calibri" w:cs="Calibri"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2">
    <w:lvl w:ilvl="0">
      <w:start w:val="1"/>
      <w:numFmt w:val="decimal"/>
      <w:lvlText w:val="%1."/>
      <w:lvlJc w:val="left"/>
      <w:pPr>
        <w:tabs>
          <w:tab w:val="num" w:pos="0"/>
        </w:tabs>
        <w:ind w:left="643" w:hanging="360"/>
      </w:pPr>
    </w:lvl>
    <w:lvl w:ilvl="1">
      <w:start w:val="1"/>
      <w:numFmt w:val="lowerLetter"/>
      <w:lvlText w:val="%2."/>
      <w:lvlJc w:val="left"/>
      <w:pPr>
        <w:tabs>
          <w:tab w:val="num" w:pos="0"/>
        </w:tabs>
        <w:ind w:left="1363" w:hanging="360"/>
      </w:pPr>
    </w:lvl>
    <w:lvl w:ilvl="2">
      <w:start w:val="1"/>
      <w:numFmt w:val="lowerRoman"/>
      <w:lvlText w:val="%3."/>
      <w:lvlJc w:val="right"/>
      <w:pPr>
        <w:tabs>
          <w:tab w:val="num" w:pos="0"/>
        </w:tabs>
        <w:ind w:left="2083" w:hanging="180"/>
      </w:pPr>
    </w:lvl>
    <w:lvl w:ilvl="3">
      <w:start w:val="1"/>
      <w:numFmt w:val="decimal"/>
      <w:lvlText w:val="%4."/>
      <w:lvlJc w:val="left"/>
      <w:pPr>
        <w:tabs>
          <w:tab w:val="num" w:pos="0"/>
        </w:tabs>
        <w:ind w:left="2803" w:hanging="360"/>
      </w:pPr>
    </w:lvl>
    <w:lvl w:ilvl="4">
      <w:start w:val="1"/>
      <w:numFmt w:val="lowerLetter"/>
      <w:lvlText w:val="%5."/>
      <w:lvlJc w:val="left"/>
      <w:pPr>
        <w:tabs>
          <w:tab w:val="num" w:pos="0"/>
        </w:tabs>
        <w:ind w:left="3523" w:hanging="360"/>
      </w:pPr>
    </w:lvl>
    <w:lvl w:ilvl="5">
      <w:start w:val="1"/>
      <w:numFmt w:val="lowerRoman"/>
      <w:lvlText w:val="%6."/>
      <w:lvlJc w:val="right"/>
      <w:pPr>
        <w:tabs>
          <w:tab w:val="num" w:pos="0"/>
        </w:tabs>
        <w:ind w:left="4243" w:hanging="180"/>
      </w:pPr>
    </w:lvl>
    <w:lvl w:ilvl="6">
      <w:start w:val="1"/>
      <w:numFmt w:val="decimal"/>
      <w:lvlText w:val="%7."/>
      <w:lvlJc w:val="left"/>
      <w:pPr>
        <w:tabs>
          <w:tab w:val="num" w:pos="0"/>
        </w:tabs>
        <w:ind w:left="4963" w:hanging="360"/>
      </w:pPr>
    </w:lvl>
    <w:lvl w:ilvl="7">
      <w:start w:val="1"/>
      <w:numFmt w:val="lowerLetter"/>
      <w:lvlText w:val="%8."/>
      <w:lvlJc w:val="left"/>
      <w:pPr>
        <w:tabs>
          <w:tab w:val="num" w:pos="0"/>
        </w:tabs>
        <w:ind w:left="5683" w:hanging="360"/>
      </w:pPr>
    </w:lvl>
    <w:lvl w:ilvl="8">
      <w:start w:val="1"/>
      <w:numFmt w:val="lowerRoman"/>
      <w:lvlText w:val="%9."/>
      <w:lvlJc w:val="right"/>
      <w:pPr>
        <w:tabs>
          <w:tab w:val="num" w:pos="0"/>
        </w:tabs>
        <w:ind w:left="6403" w:hanging="180"/>
      </w:pPr>
    </w:lvl>
  </w:abstractNum>
  <w:abstractNum w:abstractNumId="2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4">
    <w:lvl w:ilvl="0">
      <w:start w:val="1"/>
      <w:numFmt w:val="bullet"/>
      <w:lvlText w:val=""/>
      <w:lvlJc w:val="left"/>
      <w:pPr>
        <w:tabs>
          <w:tab w:val="num" w:pos="0"/>
        </w:tabs>
        <w:ind w:left="722" w:hanging="360"/>
      </w:pPr>
      <w:rPr>
        <w:rFonts w:ascii="Symbol" w:hAnsi="Symbol" w:cs="Symbol" w:hint="default"/>
      </w:rPr>
    </w:lvl>
    <w:lvl w:ilvl="1">
      <w:start w:val="1"/>
      <w:numFmt w:val="bullet"/>
      <w:lvlText w:val="o"/>
      <w:lvlJc w:val="left"/>
      <w:pPr>
        <w:tabs>
          <w:tab w:val="num" w:pos="0"/>
        </w:tabs>
        <w:ind w:left="1442" w:hanging="360"/>
      </w:pPr>
      <w:rPr>
        <w:rFonts w:ascii="Courier New" w:hAnsi="Courier New" w:cs="Courier New" w:hint="default"/>
      </w:rPr>
    </w:lvl>
    <w:lvl w:ilvl="2">
      <w:start w:val="1"/>
      <w:numFmt w:val="bullet"/>
      <w:lvlText w:val=""/>
      <w:lvlJc w:val="left"/>
      <w:pPr>
        <w:tabs>
          <w:tab w:val="num" w:pos="0"/>
        </w:tabs>
        <w:ind w:left="2162" w:hanging="360"/>
      </w:pPr>
      <w:rPr>
        <w:rFonts w:ascii="Wingdings" w:hAnsi="Wingdings" w:cs="Wingdings" w:hint="default"/>
      </w:rPr>
    </w:lvl>
    <w:lvl w:ilvl="3">
      <w:start w:val="1"/>
      <w:numFmt w:val="bullet"/>
      <w:lvlText w:val=""/>
      <w:lvlJc w:val="left"/>
      <w:pPr>
        <w:tabs>
          <w:tab w:val="num" w:pos="0"/>
        </w:tabs>
        <w:ind w:left="2882" w:hanging="360"/>
      </w:pPr>
      <w:rPr>
        <w:rFonts w:ascii="Symbol" w:hAnsi="Symbol" w:cs="Symbol" w:hint="default"/>
      </w:rPr>
    </w:lvl>
    <w:lvl w:ilvl="4">
      <w:start w:val="1"/>
      <w:numFmt w:val="bullet"/>
      <w:lvlText w:val="o"/>
      <w:lvlJc w:val="left"/>
      <w:pPr>
        <w:tabs>
          <w:tab w:val="num" w:pos="0"/>
        </w:tabs>
        <w:ind w:left="3602" w:hanging="360"/>
      </w:pPr>
      <w:rPr>
        <w:rFonts w:ascii="Courier New" w:hAnsi="Courier New" w:cs="Courier New" w:hint="default"/>
      </w:rPr>
    </w:lvl>
    <w:lvl w:ilvl="5">
      <w:start w:val="1"/>
      <w:numFmt w:val="bullet"/>
      <w:lvlText w:val=""/>
      <w:lvlJc w:val="left"/>
      <w:pPr>
        <w:tabs>
          <w:tab w:val="num" w:pos="0"/>
        </w:tabs>
        <w:ind w:left="4322" w:hanging="360"/>
      </w:pPr>
      <w:rPr>
        <w:rFonts w:ascii="Wingdings" w:hAnsi="Wingdings" w:cs="Wingdings" w:hint="default"/>
      </w:rPr>
    </w:lvl>
    <w:lvl w:ilvl="6">
      <w:start w:val="1"/>
      <w:numFmt w:val="bullet"/>
      <w:lvlText w:val=""/>
      <w:lvlJc w:val="left"/>
      <w:pPr>
        <w:tabs>
          <w:tab w:val="num" w:pos="0"/>
        </w:tabs>
        <w:ind w:left="5042" w:hanging="360"/>
      </w:pPr>
      <w:rPr>
        <w:rFonts w:ascii="Symbol" w:hAnsi="Symbol" w:cs="Symbol" w:hint="default"/>
      </w:rPr>
    </w:lvl>
    <w:lvl w:ilvl="7">
      <w:start w:val="1"/>
      <w:numFmt w:val="bullet"/>
      <w:lvlText w:val="o"/>
      <w:lvlJc w:val="left"/>
      <w:pPr>
        <w:tabs>
          <w:tab w:val="num" w:pos="0"/>
        </w:tabs>
        <w:ind w:left="5762" w:hanging="360"/>
      </w:pPr>
      <w:rPr>
        <w:rFonts w:ascii="Courier New" w:hAnsi="Courier New" w:cs="Courier New" w:hint="default"/>
      </w:rPr>
    </w:lvl>
    <w:lvl w:ilvl="8">
      <w:start w:val="1"/>
      <w:numFmt w:val="bullet"/>
      <w:lvlText w:val=""/>
      <w:lvlJc w:val="left"/>
      <w:pPr>
        <w:tabs>
          <w:tab w:val="num" w:pos="0"/>
        </w:tabs>
        <w:ind w:left="6482" w:hanging="360"/>
      </w:pPr>
      <w:rPr>
        <w:rFonts w:ascii="Wingdings" w:hAnsi="Wingdings" w:cs="Wingdings" w:hint="default"/>
      </w:rPr>
    </w:lvl>
  </w:abstractNum>
  <w:abstractNum w:abstractNumId="25">
    <w:lvl w:ilvl="0">
      <w:start w:val="1"/>
      <w:numFmt w:val="bullet"/>
      <w:lvlText w:val=""/>
      <w:lvlJc w:val="left"/>
      <w:pPr>
        <w:tabs>
          <w:tab w:val="num" w:pos="0"/>
        </w:tabs>
        <w:ind w:left="722" w:hanging="360"/>
      </w:pPr>
      <w:rPr>
        <w:rFonts w:ascii="Symbol" w:hAnsi="Symbol" w:cs="Symbol" w:hint="default"/>
      </w:rPr>
    </w:lvl>
    <w:lvl w:ilvl="1">
      <w:start w:val="1"/>
      <w:numFmt w:val="bullet"/>
      <w:lvlText w:val="o"/>
      <w:lvlJc w:val="left"/>
      <w:pPr>
        <w:tabs>
          <w:tab w:val="num" w:pos="0"/>
        </w:tabs>
        <w:ind w:left="1442" w:hanging="360"/>
      </w:pPr>
      <w:rPr>
        <w:rFonts w:ascii="Courier New" w:hAnsi="Courier New" w:cs="Courier New" w:hint="default"/>
      </w:rPr>
    </w:lvl>
    <w:lvl w:ilvl="2">
      <w:start w:val="1"/>
      <w:numFmt w:val="bullet"/>
      <w:lvlText w:val=""/>
      <w:lvlJc w:val="left"/>
      <w:pPr>
        <w:tabs>
          <w:tab w:val="num" w:pos="0"/>
        </w:tabs>
        <w:ind w:left="2162" w:hanging="360"/>
      </w:pPr>
      <w:rPr>
        <w:rFonts w:ascii="Wingdings" w:hAnsi="Wingdings" w:cs="Wingdings" w:hint="default"/>
      </w:rPr>
    </w:lvl>
    <w:lvl w:ilvl="3">
      <w:start w:val="1"/>
      <w:numFmt w:val="bullet"/>
      <w:lvlText w:val=""/>
      <w:lvlJc w:val="left"/>
      <w:pPr>
        <w:tabs>
          <w:tab w:val="num" w:pos="0"/>
        </w:tabs>
        <w:ind w:left="2882" w:hanging="360"/>
      </w:pPr>
      <w:rPr>
        <w:rFonts w:ascii="Symbol" w:hAnsi="Symbol" w:cs="Symbol" w:hint="default"/>
      </w:rPr>
    </w:lvl>
    <w:lvl w:ilvl="4">
      <w:start w:val="1"/>
      <w:numFmt w:val="bullet"/>
      <w:lvlText w:val="o"/>
      <w:lvlJc w:val="left"/>
      <w:pPr>
        <w:tabs>
          <w:tab w:val="num" w:pos="0"/>
        </w:tabs>
        <w:ind w:left="3602" w:hanging="360"/>
      </w:pPr>
      <w:rPr>
        <w:rFonts w:ascii="Courier New" w:hAnsi="Courier New" w:cs="Courier New" w:hint="default"/>
      </w:rPr>
    </w:lvl>
    <w:lvl w:ilvl="5">
      <w:start w:val="1"/>
      <w:numFmt w:val="bullet"/>
      <w:lvlText w:val=""/>
      <w:lvlJc w:val="left"/>
      <w:pPr>
        <w:tabs>
          <w:tab w:val="num" w:pos="0"/>
        </w:tabs>
        <w:ind w:left="4322" w:hanging="360"/>
      </w:pPr>
      <w:rPr>
        <w:rFonts w:ascii="Wingdings" w:hAnsi="Wingdings" w:cs="Wingdings" w:hint="default"/>
      </w:rPr>
    </w:lvl>
    <w:lvl w:ilvl="6">
      <w:start w:val="1"/>
      <w:numFmt w:val="bullet"/>
      <w:lvlText w:val=""/>
      <w:lvlJc w:val="left"/>
      <w:pPr>
        <w:tabs>
          <w:tab w:val="num" w:pos="0"/>
        </w:tabs>
        <w:ind w:left="5042" w:hanging="360"/>
      </w:pPr>
      <w:rPr>
        <w:rFonts w:ascii="Symbol" w:hAnsi="Symbol" w:cs="Symbol" w:hint="default"/>
      </w:rPr>
    </w:lvl>
    <w:lvl w:ilvl="7">
      <w:start w:val="1"/>
      <w:numFmt w:val="bullet"/>
      <w:lvlText w:val="o"/>
      <w:lvlJc w:val="left"/>
      <w:pPr>
        <w:tabs>
          <w:tab w:val="num" w:pos="0"/>
        </w:tabs>
        <w:ind w:left="5762" w:hanging="360"/>
      </w:pPr>
      <w:rPr>
        <w:rFonts w:ascii="Courier New" w:hAnsi="Courier New" w:cs="Courier New" w:hint="default"/>
      </w:rPr>
    </w:lvl>
    <w:lvl w:ilvl="8">
      <w:start w:val="1"/>
      <w:numFmt w:val="bullet"/>
      <w:lvlText w:val=""/>
      <w:lvlJc w:val="left"/>
      <w:pPr>
        <w:tabs>
          <w:tab w:val="num" w:pos="0"/>
        </w:tabs>
        <w:ind w:left="6482" w:hanging="360"/>
      </w:pPr>
      <w:rPr>
        <w:rFonts w:ascii="Wingdings" w:hAnsi="Wingdings" w:cs="Wingdings" w:hint="default"/>
      </w:rPr>
    </w:lvl>
  </w:abstractNum>
  <w:abstractNum w:abstractNumId="26">
    <w:lvl w:ilvl="0">
      <w:start w:val="1"/>
      <w:numFmt w:val="bullet"/>
      <w:lvlText w:val=""/>
      <w:lvlJc w:val="left"/>
      <w:pPr>
        <w:tabs>
          <w:tab w:val="num" w:pos="0"/>
        </w:tabs>
        <w:ind w:left="372" w:hanging="360"/>
      </w:pPr>
      <w:rPr>
        <w:rFonts w:ascii="Symbol" w:hAnsi="Symbol" w:cs="Symbol" w:hint="default"/>
      </w:rPr>
    </w:lvl>
    <w:lvl w:ilvl="1">
      <w:start w:val="1"/>
      <w:numFmt w:val="bullet"/>
      <w:lvlText w:val="o"/>
      <w:lvlJc w:val="left"/>
      <w:pPr>
        <w:tabs>
          <w:tab w:val="num" w:pos="0"/>
        </w:tabs>
        <w:ind w:left="1092" w:hanging="360"/>
      </w:pPr>
      <w:rPr>
        <w:rFonts w:ascii="Courier New" w:hAnsi="Courier New" w:cs="Courier New" w:hint="default"/>
      </w:rPr>
    </w:lvl>
    <w:lvl w:ilvl="2">
      <w:start w:val="1"/>
      <w:numFmt w:val="bullet"/>
      <w:lvlText w:val=""/>
      <w:lvlJc w:val="left"/>
      <w:pPr>
        <w:tabs>
          <w:tab w:val="num" w:pos="0"/>
        </w:tabs>
        <w:ind w:left="1812" w:hanging="360"/>
      </w:pPr>
      <w:rPr>
        <w:rFonts w:ascii="Wingdings" w:hAnsi="Wingdings" w:cs="Wingdings" w:hint="default"/>
      </w:rPr>
    </w:lvl>
    <w:lvl w:ilvl="3">
      <w:start w:val="1"/>
      <w:numFmt w:val="bullet"/>
      <w:lvlText w:val=""/>
      <w:lvlJc w:val="left"/>
      <w:pPr>
        <w:tabs>
          <w:tab w:val="num" w:pos="0"/>
        </w:tabs>
        <w:ind w:left="2532" w:hanging="360"/>
      </w:pPr>
      <w:rPr>
        <w:rFonts w:ascii="Symbol" w:hAnsi="Symbol" w:cs="Symbol" w:hint="default"/>
      </w:rPr>
    </w:lvl>
    <w:lvl w:ilvl="4">
      <w:start w:val="1"/>
      <w:numFmt w:val="bullet"/>
      <w:lvlText w:val="o"/>
      <w:lvlJc w:val="left"/>
      <w:pPr>
        <w:tabs>
          <w:tab w:val="num" w:pos="0"/>
        </w:tabs>
        <w:ind w:left="3252" w:hanging="360"/>
      </w:pPr>
      <w:rPr>
        <w:rFonts w:ascii="Courier New" w:hAnsi="Courier New" w:cs="Courier New" w:hint="default"/>
      </w:rPr>
    </w:lvl>
    <w:lvl w:ilvl="5">
      <w:start w:val="1"/>
      <w:numFmt w:val="bullet"/>
      <w:lvlText w:val=""/>
      <w:lvlJc w:val="left"/>
      <w:pPr>
        <w:tabs>
          <w:tab w:val="num" w:pos="0"/>
        </w:tabs>
        <w:ind w:left="3972" w:hanging="360"/>
      </w:pPr>
      <w:rPr>
        <w:rFonts w:ascii="Wingdings" w:hAnsi="Wingdings" w:cs="Wingdings" w:hint="default"/>
      </w:rPr>
    </w:lvl>
    <w:lvl w:ilvl="6">
      <w:start w:val="1"/>
      <w:numFmt w:val="bullet"/>
      <w:lvlText w:val=""/>
      <w:lvlJc w:val="left"/>
      <w:pPr>
        <w:tabs>
          <w:tab w:val="num" w:pos="0"/>
        </w:tabs>
        <w:ind w:left="4692" w:hanging="360"/>
      </w:pPr>
      <w:rPr>
        <w:rFonts w:ascii="Symbol" w:hAnsi="Symbol" w:cs="Symbol" w:hint="default"/>
      </w:rPr>
    </w:lvl>
    <w:lvl w:ilvl="7">
      <w:start w:val="1"/>
      <w:numFmt w:val="bullet"/>
      <w:lvlText w:val="o"/>
      <w:lvlJc w:val="left"/>
      <w:pPr>
        <w:tabs>
          <w:tab w:val="num" w:pos="0"/>
        </w:tabs>
        <w:ind w:left="5412" w:hanging="360"/>
      </w:pPr>
      <w:rPr>
        <w:rFonts w:ascii="Courier New" w:hAnsi="Courier New" w:cs="Courier New" w:hint="default"/>
      </w:rPr>
    </w:lvl>
    <w:lvl w:ilvl="8">
      <w:start w:val="1"/>
      <w:numFmt w:val="bullet"/>
      <w:lvlText w:val=""/>
      <w:lvlJc w:val="left"/>
      <w:pPr>
        <w:tabs>
          <w:tab w:val="num" w:pos="0"/>
        </w:tabs>
        <w:ind w:left="6132" w:hanging="360"/>
      </w:pPr>
      <w:rPr>
        <w:rFonts w:ascii="Wingdings" w:hAnsi="Wingdings" w:cs="Wingdings" w:hint="default"/>
      </w:rPr>
    </w:lvl>
  </w:abstractNum>
  <w:abstractNum w:abstractNumId="27">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8">
    <w:lvl w:ilvl="0">
      <w:start w:val="1"/>
      <w:numFmt w:val="bullet"/>
      <w:lvlText w:val=""/>
      <w:lvlJc w:val="left"/>
      <w:pPr>
        <w:tabs>
          <w:tab w:val="num" w:pos="0"/>
        </w:tabs>
        <w:ind w:left="372" w:hanging="360"/>
      </w:pPr>
      <w:rPr>
        <w:rFonts w:ascii="Symbol" w:hAnsi="Symbol" w:cs="Symbol" w:hint="default"/>
      </w:rPr>
    </w:lvl>
    <w:lvl w:ilvl="1">
      <w:start w:val="1"/>
      <w:numFmt w:val="bullet"/>
      <w:lvlText w:val="o"/>
      <w:lvlJc w:val="left"/>
      <w:pPr>
        <w:tabs>
          <w:tab w:val="num" w:pos="0"/>
        </w:tabs>
        <w:ind w:left="1092" w:hanging="360"/>
      </w:pPr>
      <w:rPr>
        <w:rFonts w:ascii="Courier New" w:hAnsi="Courier New" w:cs="Courier New" w:hint="default"/>
      </w:rPr>
    </w:lvl>
    <w:lvl w:ilvl="2">
      <w:start w:val="1"/>
      <w:numFmt w:val="bullet"/>
      <w:lvlText w:val=""/>
      <w:lvlJc w:val="left"/>
      <w:pPr>
        <w:tabs>
          <w:tab w:val="num" w:pos="0"/>
        </w:tabs>
        <w:ind w:left="1812" w:hanging="360"/>
      </w:pPr>
      <w:rPr>
        <w:rFonts w:ascii="Wingdings" w:hAnsi="Wingdings" w:cs="Wingdings" w:hint="default"/>
      </w:rPr>
    </w:lvl>
    <w:lvl w:ilvl="3">
      <w:start w:val="1"/>
      <w:numFmt w:val="bullet"/>
      <w:lvlText w:val=""/>
      <w:lvlJc w:val="left"/>
      <w:pPr>
        <w:tabs>
          <w:tab w:val="num" w:pos="0"/>
        </w:tabs>
        <w:ind w:left="2532" w:hanging="360"/>
      </w:pPr>
      <w:rPr>
        <w:rFonts w:ascii="Symbol" w:hAnsi="Symbol" w:cs="Symbol" w:hint="default"/>
      </w:rPr>
    </w:lvl>
    <w:lvl w:ilvl="4">
      <w:start w:val="1"/>
      <w:numFmt w:val="bullet"/>
      <w:lvlText w:val="o"/>
      <w:lvlJc w:val="left"/>
      <w:pPr>
        <w:tabs>
          <w:tab w:val="num" w:pos="0"/>
        </w:tabs>
        <w:ind w:left="3252" w:hanging="360"/>
      </w:pPr>
      <w:rPr>
        <w:rFonts w:ascii="Courier New" w:hAnsi="Courier New" w:cs="Courier New" w:hint="default"/>
      </w:rPr>
    </w:lvl>
    <w:lvl w:ilvl="5">
      <w:start w:val="1"/>
      <w:numFmt w:val="bullet"/>
      <w:lvlText w:val=""/>
      <w:lvlJc w:val="left"/>
      <w:pPr>
        <w:tabs>
          <w:tab w:val="num" w:pos="0"/>
        </w:tabs>
        <w:ind w:left="3972" w:hanging="360"/>
      </w:pPr>
      <w:rPr>
        <w:rFonts w:ascii="Wingdings" w:hAnsi="Wingdings" w:cs="Wingdings" w:hint="default"/>
      </w:rPr>
    </w:lvl>
    <w:lvl w:ilvl="6">
      <w:start w:val="1"/>
      <w:numFmt w:val="bullet"/>
      <w:lvlText w:val=""/>
      <w:lvlJc w:val="left"/>
      <w:pPr>
        <w:tabs>
          <w:tab w:val="num" w:pos="0"/>
        </w:tabs>
        <w:ind w:left="4692" w:hanging="360"/>
      </w:pPr>
      <w:rPr>
        <w:rFonts w:ascii="Symbol" w:hAnsi="Symbol" w:cs="Symbol" w:hint="default"/>
      </w:rPr>
    </w:lvl>
    <w:lvl w:ilvl="7">
      <w:start w:val="1"/>
      <w:numFmt w:val="bullet"/>
      <w:lvlText w:val="o"/>
      <w:lvlJc w:val="left"/>
      <w:pPr>
        <w:tabs>
          <w:tab w:val="num" w:pos="0"/>
        </w:tabs>
        <w:ind w:left="5412" w:hanging="360"/>
      </w:pPr>
      <w:rPr>
        <w:rFonts w:ascii="Courier New" w:hAnsi="Courier New" w:cs="Courier New" w:hint="default"/>
      </w:rPr>
    </w:lvl>
    <w:lvl w:ilvl="8">
      <w:start w:val="1"/>
      <w:numFmt w:val="bullet"/>
      <w:lvlText w:val=""/>
      <w:lvlJc w:val="left"/>
      <w:pPr>
        <w:tabs>
          <w:tab w:val="num" w:pos="0"/>
        </w:tabs>
        <w:ind w:left="6132" w:hanging="360"/>
      </w:pPr>
      <w:rPr>
        <w:rFonts w:ascii="Wingdings" w:hAnsi="Wingdings" w:cs="Wingdings" w:hint="default"/>
      </w:rPr>
    </w:lvl>
  </w:abstractNum>
  <w:abstractNum w:abstractNumId="29">
    <w:lvl w:ilvl="0">
      <w:start w:val="1"/>
      <w:numFmt w:val="bullet"/>
      <w:lvlText w:val=""/>
      <w:lvlJc w:val="left"/>
      <w:pPr>
        <w:tabs>
          <w:tab w:val="num" w:pos="0"/>
        </w:tabs>
        <w:ind w:left="732" w:hanging="360"/>
      </w:pPr>
      <w:rPr>
        <w:rFonts w:ascii="Wingdings" w:hAnsi="Wingdings" w:cs="Wingdings" w:hint="default"/>
      </w:rPr>
    </w:lvl>
    <w:lvl w:ilvl="1">
      <w:start w:val="1"/>
      <w:numFmt w:val="bullet"/>
      <w:lvlText w:val="o"/>
      <w:lvlJc w:val="left"/>
      <w:pPr>
        <w:tabs>
          <w:tab w:val="num" w:pos="0"/>
        </w:tabs>
        <w:ind w:left="1452" w:hanging="360"/>
      </w:pPr>
      <w:rPr>
        <w:rFonts w:ascii="Courier New" w:hAnsi="Courier New" w:cs="Courier New" w:hint="default"/>
      </w:rPr>
    </w:lvl>
    <w:lvl w:ilvl="2">
      <w:start w:val="1"/>
      <w:numFmt w:val="bullet"/>
      <w:lvlText w:val=""/>
      <w:lvlJc w:val="left"/>
      <w:pPr>
        <w:tabs>
          <w:tab w:val="num" w:pos="0"/>
        </w:tabs>
        <w:ind w:left="2172" w:hanging="360"/>
      </w:pPr>
      <w:rPr>
        <w:rFonts w:ascii="Wingdings" w:hAnsi="Wingdings" w:cs="Wingdings" w:hint="default"/>
      </w:rPr>
    </w:lvl>
    <w:lvl w:ilvl="3">
      <w:start w:val="1"/>
      <w:numFmt w:val="bullet"/>
      <w:lvlText w:val=""/>
      <w:lvlJc w:val="left"/>
      <w:pPr>
        <w:tabs>
          <w:tab w:val="num" w:pos="0"/>
        </w:tabs>
        <w:ind w:left="2892" w:hanging="360"/>
      </w:pPr>
      <w:rPr>
        <w:rFonts w:ascii="Symbol" w:hAnsi="Symbol" w:cs="Symbol" w:hint="default"/>
      </w:rPr>
    </w:lvl>
    <w:lvl w:ilvl="4">
      <w:start w:val="1"/>
      <w:numFmt w:val="bullet"/>
      <w:lvlText w:val="o"/>
      <w:lvlJc w:val="left"/>
      <w:pPr>
        <w:tabs>
          <w:tab w:val="num" w:pos="0"/>
        </w:tabs>
        <w:ind w:left="3612" w:hanging="360"/>
      </w:pPr>
      <w:rPr>
        <w:rFonts w:ascii="Courier New" w:hAnsi="Courier New" w:cs="Courier New" w:hint="default"/>
      </w:rPr>
    </w:lvl>
    <w:lvl w:ilvl="5">
      <w:start w:val="1"/>
      <w:numFmt w:val="bullet"/>
      <w:lvlText w:val=""/>
      <w:lvlJc w:val="left"/>
      <w:pPr>
        <w:tabs>
          <w:tab w:val="num" w:pos="0"/>
        </w:tabs>
        <w:ind w:left="4332" w:hanging="360"/>
      </w:pPr>
      <w:rPr>
        <w:rFonts w:ascii="Wingdings" w:hAnsi="Wingdings" w:cs="Wingdings" w:hint="default"/>
      </w:rPr>
    </w:lvl>
    <w:lvl w:ilvl="6">
      <w:start w:val="1"/>
      <w:numFmt w:val="bullet"/>
      <w:lvlText w:val=""/>
      <w:lvlJc w:val="left"/>
      <w:pPr>
        <w:tabs>
          <w:tab w:val="num" w:pos="0"/>
        </w:tabs>
        <w:ind w:left="5052" w:hanging="360"/>
      </w:pPr>
      <w:rPr>
        <w:rFonts w:ascii="Symbol" w:hAnsi="Symbol" w:cs="Symbol" w:hint="default"/>
      </w:rPr>
    </w:lvl>
    <w:lvl w:ilvl="7">
      <w:start w:val="1"/>
      <w:numFmt w:val="bullet"/>
      <w:lvlText w:val="o"/>
      <w:lvlJc w:val="left"/>
      <w:pPr>
        <w:tabs>
          <w:tab w:val="num" w:pos="0"/>
        </w:tabs>
        <w:ind w:left="5772" w:hanging="360"/>
      </w:pPr>
      <w:rPr>
        <w:rFonts w:ascii="Courier New" w:hAnsi="Courier New" w:cs="Courier New" w:hint="default"/>
      </w:rPr>
    </w:lvl>
    <w:lvl w:ilvl="8">
      <w:start w:val="1"/>
      <w:numFmt w:val="bullet"/>
      <w:lvlText w:val=""/>
      <w:lvlJc w:val="left"/>
      <w:pPr>
        <w:tabs>
          <w:tab w:val="num" w:pos="0"/>
        </w:tabs>
        <w:ind w:left="6492" w:hanging="360"/>
      </w:pPr>
      <w:rPr>
        <w:rFonts w:ascii="Wingdings" w:hAnsi="Wingdings" w:cs="Wingdings" w:hint="default"/>
      </w:rPr>
    </w:lvl>
  </w:abstractNum>
  <w:abstractNum w:abstractNumId="3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3">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4">
    <w:lvl w:ilvl="0">
      <w:numFmt w:val="bullet"/>
      <w:lvlText w:val="-"/>
      <w:lvlJc w:val="left"/>
      <w:pPr>
        <w:tabs>
          <w:tab w:val="num" w:pos="0"/>
        </w:tabs>
        <w:ind w:left="737" w:hanging="360"/>
      </w:pPr>
      <w:rPr>
        <w:rFonts w:ascii="Times New Roman" w:hAnsi="Times New Roman" w:cs="Times New Roman" w:hint="default"/>
      </w:rPr>
    </w:lvl>
    <w:lvl w:ilvl="1">
      <w:start w:val="1"/>
      <w:numFmt w:val="bullet"/>
      <w:lvlText w:val="o"/>
      <w:lvlJc w:val="left"/>
      <w:pPr>
        <w:tabs>
          <w:tab w:val="num" w:pos="0"/>
        </w:tabs>
        <w:ind w:left="1457" w:hanging="360"/>
      </w:pPr>
      <w:rPr>
        <w:rFonts w:ascii="Courier New" w:hAnsi="Courier New" w:cs="Courier New" w:hint="default"/>
      </w:rPr>
    </w:lvl>
    <w:lvl w:ilvl="2">
      <w:start w:val="1"/>
      <w:numFmt w:val="bullet"/>
      <w:lvlText w:val=""/>
      <w:lvlJc w:val="left"/>
      <w:pPr>
        <w:tabs>
          <w:tab w:val="num" w:pos="0"/>
        </w:tabs>
        <w:ind w:left="2177" w:hanging="360"/>
      </w:pPr>
      <w:rPr>
        <w:rFonts w:ascii="Wingdings" w:hAnsi="Wingdings" w:cs="Wingdings" w:hint="default"/>
      </w:rPr>
    </w:lvl>
    <w:lvl w:ilvl="3">
      <w:start w:val="1"/>
      <w:numFmt w:val="bullet"/>
      <w:lvlText w:val=""/>
      <w:lvlJc w:val="left"/>
      <w:pPr>
        <w:tabs>
          <w:tab w:val="num" w:pos="0"/>
        </w:tabs>
        <w:ind w:left="2897" w:hanging="360"/>
      </w:pPr>
      <w:rPr>
        <w:rFonts w:ascii="Symbol" w:hAnsi="Symbol" w:cs="Symbol" w:hint="default"/>
      </w:rPr>
    </w:lvl>
    <w:lvl w:ilvl="4">
      <w:start w:val="1"/>
      <w:numFmt w:val="bullet"/>
      <w:lvlText w:val="o"/>
      <w:lvlJc w:val="left"/>
      <w:pPr>
        <w:tabs>
          <w:tab w:val="num" w:pos="0"/>
        </w:tabs>
        <w:ind w:left="3617" w:hanging="360"/>
      </w:pPr>
      <w:rPr>
        <w:rFonts w:ascii="Courier New" w:hAnsi="Courier New" w:cs="Courier New" w:hint="default"/>
      </w:rPr>
    </w:lvl>
    <w:lvl w:ilvl="5">
      <w:start w:val="1"/>
      <w:numFmt w:val="bullet"/>
      <w:lvlText w:val=""/>
      <w:lvlJc w:val="left"/>
      <w:pPr>
        <w:tabs>
          <w:tab w:val="num" w:pos="0"/>
        </w:tabs>
        <w:ind w:left="4337" w:hanging="360"/>
      </w:pPr>
      <w:rPr>
        <w:rFonts w:ascii="Wingdings" w:hAnsi="Wingdings" w:cs="Wingdings" w:hint="default"/>
      </w:rPr>
    </w:lvl>
    <w:lvl w:ilvl="6">
      <w:start w:val="1"/>
      <w:numFmt w:val="bullet"/>
      <w:lvlText w:val=""/>
      <w:lvlJc w:val="left"/>
      <w:pPr>
        <w:tabs>
          <w:tab w:val="num" w:pos="0"/>
        </w:tabs>
        <w:ind w:left="5057" w:hanging="360"/>
      </w:pPr>
      <w:rPr>
        <w:rFonts w:ascii="Symbol" w:hAnsi="Symbol" w:cs="Symbol" w:hint="default"/>
      </w:rPr>
    </w:lvl>
    <w:lvl w:ilvl="7">
      <w:start w:val="1"/>
      <w:numFmt w:val="bullet"/>
      <w:lvlText w:val="o"/>
      <w:lvlJc w:val="left"/>
      <w:pPr>
        <w:tabs>
          <w:tab w:val="num" w:pos="0"/>
        </w:tabs>
        <w:ind w:left="5777" w:hanging="360"/>
      </w:pPr>
      <w:rPr>
        <w:rFonts w:ascii="Courier New" w:hAnsi="Courier New" w:cs="Courier New" w:hint="default"/>
      </w:rPr>
    </w:lvl>
    <w:lvl w:ilvl="8">
      <w:start w:val="1"/>
      <w:numFmt w:val="bullet"/>
      <w:lvlText w:val=""/>
      <w:lvlJc w:val="left"/>
      <w:pPr>
        <w:tabs>
          <w:tab w:val="num" w:pos="0"/>
        </w:tabs>
        <w:ind w:left="6497" w:hanging="360"/>
      </w:pPr>
      <w:rPr>
        <w:rFonts w:ascii="Wingdings" w:hAnsi="Wingdings" w:cs="Wingdings" w:hint="default"/>
      </w:rPr>
    </w:lvl>
  </w:abstractNum>
  <w:abstractNum w:abstractNumId="35">
    <w:lvl w:ilvl="0">
      <w:start w:val="1"/>
      <w:numFmt w:val="bullet"/>
      <w:lvlText w:val=""/>
      <w:lvlJc w:val="left"/>
      <w:pPr>
        <w:tabs>
          <w:tab w:val="num" w:pos="0"/>
        </w:tabs>
        <w:ind w:left="722" w:hanging="360"/>
      </w:pPr>
      <w:rPr>
        <w:rFonts w:ascii="Symbol" w:hAnsi="Symbol" w:cs="Symbol" w:hint="default"/>
      </w:rPr>
    </w:lvl>
    <w:lvl w:ilvl="1">
      <w:start w:val="1"/>
      <w:numFmt w:val="bullet"/>
      <w:lvlText w:val="o"/>
      <w:lvlJc w:val="left"/>
      <w:pPr>
        <w:tabs>
          <w:tab w:val="num" w:pos="0"/>
        </w:tabs>
        <w:ind w:left="1442" w:hanging="360"/>
      </w:pPr>
      <w:rPr>
        <w:rFonts w:ascii="Courier New" w:hAnsi="Courier New" w:cs="Courier New" w:hint="default"/>
      </w:rPr>
    </w:lvl>
    <w:lvl w:ilvl="2">
      <w:start w:val="1"/>
      <w:numFmt w:val="bullet"/>
      <w:lvlText w:val=""/>
      <w:lvlJc w:val="left"/>
      <w:pPr>
        <w:tabs>
          <w:tab w:val="num" w:pos="0"/>
        </w:tabs>
        <w:ind w:left="2162" w:hanging="360"/>
      </w:pPr>
      <w:rPr>
        <w:rFonts w:ascii="Wingdings" w:hAnsi="Wingdings" w:cs="Wingdings" w:hint="default"/>
      </w:rPr>
    </w:lvl>
    <w:lvl w:ilvl="3">
      <w:start w:val="1"/>
      <w:numFmt w:val="bullet"/>
      <w:lvlText w:val=""/>
      <w:lvlJc w:val="left"/>
      <w:pPr>
        <w:tabs>
          <w:tab w:val="num" w:pos="0"/>
        </w:tabs>
        <w:ind w:left="2882" w:hanging="360"/>
      </w:pPr>
      <w:rPr>
        <w:rFonts w:ascii="Symbol" w:hAnsi="Symbol" w:cs="Symbol" w:hint="default"/>
      </w:rPr>
    </w:lvl>
    <w:lvl w:ilvl="4">
      <w:start w:val="1"/>
      <w:numFmt w:val="bullet"/>
      <w:lvlText w:val="o"/>
      <w:lvlJc w:val="left"/>
      <w:pPr>
        <w:tabs>
          <w:tab w:val="num" w:pos="0"/>
        </w:tabs>
        <w:ind w:left="3602" w:hanging="360"/>
      </w:pPr>
      <w:rPr>
        <w:rFonts w:ascii="Courier New" w:hAnsi="Courier New" w:cs="Courier New" w:hint="default"/>
      </w:rPr>
    </w:lvl>
    <w:lvl w:ilvl="5">
      <w:start w:val="1"/>
      <w:numFmt w:val="bullet"/>
      <w:lvlText w:val=""/>
      <w:lvlJc w:val="left"/>
      <w:pPr>
        <w:tabs>
          <w:tab w:val="num" w:pos="0"/>
        </w:tabs>
        <w:ind w:left="4322" w:hanging="360"/>
      </w:pPr>
      <w:rPr>
        <w:rFonts w:ascii="Wingdings" w:hAnsi="Wingdings" w:cs="Wingdings" w:hint="default"/>
      </w:rPr>
    </w:lvl>
    <w:lvl w:ilvl="6">
      <w:start w:val="1"/>
      <w:numFmt w:val="bullet"/>
      <w:lvlText w:val=""/>
      <w:lvlJc w:val="left"/>
      <w:pPr>
        <w:tabs>
          <w:tab w:val="num" w:pos="0"/>
        </w:tabs>
        <w:ind w:left="5042" w:hanging="360"/>
      </w:pPr>
      <w:rPr>
        <w:rFonts w:ascii="Symbol" w:hAnsi="Symbol" w:cs="Symbol" w:hint="default"/>
      </w:rPr>
    </w:lvl>
    <w:lvl w:ilvl="7">
      <w:start w:val="1"/>
      <w:numFmt w:val="bullet"/>
      <w:lvlText w:val="o"/>
      <w:lvlJc w:val="left"/>
      <w:pPr>
        <w:tabs>
          <w:tab w:val="num" w:pos="0"/>
        </w:tabs>
        <w:ind w:left="5762" w:hanging="360"/>
      </w:pPr>
      <w:rPr>
        <w:rFonts w:ascii="Courier New" w:hAnsi="Courier New" w:cs="Courier New" w:hint="default"/>
      </w:rPr>
    </w:lvl>
    <w:lvl w:ilvl="8">
      <w:start w:val="1"/>
      <w:numFmt w:val="bullet"/>
      <w:lvlText w:val=""/>
      <w:lvlJc w:val="left"/>
      <w:pPr>
        <w:tabs>
          <w:tab w:val="num" w:pos="0"/>
        </w:tabs>
        <w:ind w:left="6482" w:hanging="360"/>
      </w:pPr>
      <w:rPr>
        <w:rFonts w:ascii="Wingdings" w:hAnsi="Wingdings" w:cs="Wingdings" w:hint="default"/>
      </w:rPr>
    </w:lvl>
  </w:abstractNum>
  <w:abstractNum w:abstractNumId="36">
    <w:lvl w:ilvl="0">
      <w:start w:val="2"/>
      <w:numFmt w:val="bullet"/>
      <w:lvlText w:val="-"/>
      <w:lvlJc w:val="left"/>
      <w:pPr>
        <w:tabs>
          <w:tab w:val="num" w:pos="741"/>
        </w:tabs>
        <w:ind w:left="741" w:hanging="360"/>
      </w:pPr>
      <w:rPr>
        <w:rFonts w:ascii="Arial" w:hAnsi="Arial" w:cs="Arial" w:hint="default"/>
      </w:rPr>
    </w:lvl>
    <w:lvl w:ilvl="1">
      <w:start w:val="1"/>
      <w:numFmt w:val="bullet"/>
      <w:lvlText w:val="o"/>
      <w:lvlJc w:val="left"/>
      <w:pPr>
        <w:tabs>
          <w:tab w:val="num" w:pos="0"/>
        </w:tabs>
        <w:ind w:left="1461" w:hanging="360"/>
      </w:pPr>
      <w:rPr>
        <w:rFonts w:ascii="Courier New" w:hAnsi="Courier New" w:cs="Courier New" w:hint="default"/>
      </w:rPr>
    </w:lvl>
    <w:lvl w:ilvl="2">
      <w:start w:val="1"/>
      <w:numFmt w:val="bullet"/>
      <w:lvlText w:val=""/>
      <w:lvlJc w:val="left"/>
      <w:pPr>
        <w:tabs>
          <w:tab w:val="num" w:pos="0"/>
        </w:tabs>
        <w:ind w:left="2181" w:hanging="360"/>
      </w:pPr>
      <w:rPr>
        <w:rFonts w:ascii="Wingdings" w:hAnsi="Wingdings" w:cs="Wingdings" w:hint="default"/>
      </w:rPr>
    </w:lvl>
    <w:lvl w:ilvl="3">
      <w:start w:val="1"/>
      <w:numFmt w:val="bullet"/>
      <w:lvlText w:val=""/>
      <w:lvlJc w:val="left"/>
      <w:pPr>
        <w:tabs>
          <w:tab w:val="num" w:pos="0"/>
        </w:tabs>
        <w:ind w:left="2901" w:hanging="360"/>
      </w:pPr>
      <w:rPr>
        <w:rFonts w:ascii="Symbol" w:hAnsi="Symbol" w:cs="Symbol" w:hint="default"/>
      </w:rPr>
    </w:lvl>
    <w:lvl w:ilvl="4">
      <w:start w:val="1"/>
      <w:numFmt w:val="bullet"/>
      <w:lvlText w:val="o"/>
      <w:lvlJc w:val="left"/>
      <w:pPr>
        <w:tabs>
          <w:tab w:val="num" w:pos="0"/>
        </w:tabs>
        <w:ind w:left="3621" w:hanging="360"/>
      </w:pPr>
      <w:rPr>
        <w:rFonts w:ascii="Courier New" w:hAnsi="Courier New" w:cs="Courier New" w:hint="default"/>
      </w:rPr>
    </w:lvl>
    <w:lvl w:ilvl="5">
      <w:start w:val="1"/>
      <w:numFmt w:val="bullet"/>
      <w:lvlText w:val=""/>
      <w:lvlJc w:val="left"/>
      <w:pPr>
        <w:tabs>
          <w:tab w:val="num" w:pos="0"/>
        </w:tabs>
        <w:ind w:left="4341" w:hanging="360"/>
      </w:pPr>
      <w:rPr>
        <w:rFonts w:ascii="Wingdings" w:hAnsi="Wingdings" w:cs="Wingdings" w:hint="default"/>
      </w:rPr>
    </w:lvl>
    <w:lvl w:ilvl="6">
      <w:start w:val="1"/>
      <w:numFmt w:val="bullet"/>
      <w:lvlText w:val=""/>
      <w:lvlJc w:val="left"/>
      <w:pPr>
        <w:tabs>
          <w:tab w:val="num" w:pos="0"/>
        </w:tabs>
        <w:ind w:left="5061" w:hanging="360"/>
      </w:pPr>
      <w:rPr>
        <w:rFonts w:ascii="Symbol" w:hAnsi="Symbol" w:cs="Symbol" w:hint="default"/>
      </w:rPr>
    </w:lvl>
    <w:lvl w:ilvl="7">
      <w:start w:val="1"/>
      <w:numFmt w:val="bullet"/>
      <w:lvlText w:val="o"/>
      <w:lvlJc w:val="left"/>
      <w:pPr>
        <w:tabs>
          <w:tab w:val="num" w:pos="0"/>
        </w:tabs>
        <w:ind w:left="5781" w:hanging="360"/>
      </w:pPr>
      <w:rPr>
        <w:rFonts w:ascii="Courier New" w:hAnsi="Courier New" w:cs="Courier New" w:hint="default"/>
      </w:rPr>
    </w:lvl>
    <w:lvl w:ilvl="8">
      <w:start w:val="1"/>
      <w:numFmt w:val="bullet"/>
      <w:lvlText w:val=""/>
      <w:lvlJc w:val="left"/>
      <w:pPr>
        <w:tabs>
          <w:tab w:val="num" w:pos="0"/>
        </w:tabs>
        <w:ind w:left="6501" w:hanging="360"/>
      </w:pPr>
      <w:rPr>
        <w:rFonts w:ascii="Wingdings" w:hAnsi="Wingdings" w:cs="Wingdings" w:hint="default"/>
      </w:rPr>
    </w:lvl>
  </w:abstractNum>
  <w:abstractNum w:abstractNumId="37">
    <w:lvl w:ilvl="0">
      <w:start w:val="2"/>
      <w:numFmt w:val="bullet"/>
      <w:lvlText w:val="-"/>
      <w:lvlJc w:val="left"/>
      <w:pPr>
        <w:tabs>
          <w:tab w:val="num" w:pos="722"/>
        </w:tabs>
        <w:ind w:left="722" w:hanging="360"/>
      </w:pPr>
      <w:rPr>
        <w:rFonts w:ascii="Arial" w:hAnsi="Arial" w:cs="Arial" w:hint="default"/>
      </w:rPr>
    </w:lvl>
    <w:lvl w:ilvl="1">
      <w:start w:val="1"/>
      <w:numFmt w:val="bullet"/>
      <w:lvlText w:val="o"/>
      <w:lvlJc w:val="left"/>
      <w:pPr>
        <w:tabs>
          <w:tab w:val="num" w:pos="0"/>
        </w:tabs>
        <w:ind w:left="1442" w:hanging="360"/>
      </w:pPr>
      <w:rPr>
        <w:rFonts w:ascii="Courier New" w:hAnsi="Courier New" w:cs="Courier New" w:hint="default"/>
      </w:rPr>
    </w:lvl>
    <w:lvl w:ilvl="2">
      <w:start w:val="1"/>
      <w:numFmt w:val="bullet"/>
      <w:lvlText w:val=""/>
      <w:lvlJc w:val="left"/>
      <w:pPr>
        <w:tabs>
          <w:tab w:val="num" w:pos="0"/>
        </w:tabs>
        <w:ind w:left="2162" w:hanging="360"/>
      </w:pPr>
      <w:rPr>
        <w:rFonts w:ascii="Wingdings" w:hAnsi="Wingdings" w:cs="Wingdings" w:hint="default"/>
      </w:rPr>
    </w:lvl>
    <w:lvl w:ilvl="3">
      <w:start w:val="1"/>
      <w:numFmt w:val="bullet"/>
      <w:lvlText w:val=""/>
      <w:lvlJc w:val="left"/>
      <w:pPr>
        <w:tabs>
          <w:tab w:val="num" w:pos="0"/>
        </w:tabs>
        <w:ind w:left="2882" w:hanging="360"/>
      </w:pPr>
      <w:rPr>
        <w:rFonts w:ascii="Symbol" w:hAnsi="Symbol" w:cs="Symbol" w:hint="default"/>
      </w:rPr>
    </w:lvl>
    <w:lvl w:ilvl="4">
      <w:start w:val="1"/>
      <w:numFmt w:val="bullet"/>
      <w:lvlText w:val="o"/>
      <w:lvlJc w:val="left"/>
      <w:pPr>
        <w:tabs>
          <w:tab w:val="num" w:pos="0"/>
        </w:tabs>
        <w:ind w:left="3602" w:hanging="360"/>
      </w:pPr>
      <w:rPr>
        <w:rFonts w:ascii="Courier New" w:hAnsi="Courier New" w:cs="Courier New" w:hint="default"/>
      </w:rPr>
    </w:lvl>
    <w:lvl w:ilvl="5">
      <w:start w:val="1"/>
      <w:numFmt w:val="bullet"/>
      <w:lvlText w:val=""/>
      <w:lvlJc w:val="left"/>
      <w:pPr>
        <w:tabs>
          <w:tab w:val="num" w:pos="0"/>
        </w:tabs>
        <w:ind w:left="4322" w:hanging="360"/>
      </w:pPr>
      <w:rPr>
        <w:rFonts w:ascii="Wingdings" w:hAnsi="Wingdings" w:cs="Wingdings" w:hint="default"/>
      </w:rPr>
    </w:lvl>
    <w:lvl w:ilvl="6">
      <w:start w:val="1"/>
      <w:numFmt w:val="bullet"/>
      <w:lvlText w:val=""/>
      <w:lvlJc w:val="left"/>
      <w:pPr>
        <w:tabs>
          <w:tab w:val="num" w:pos="0"/>
        </w:tabs>
        <w:ind w:left="5042" w:hanging="360"/>
      </w:pPr>
      <w:rPr>
        <w:rFonts w:ascii="Symbol" w:hAnsi="Symbol" w:cs="Symbol" w:hint="default"/>
      </w:rPr>
    </w:lvl>
    <w:lvl w:ilvl="7">
      <w:start w:val="1"/>
      <w:numFmt w:val="bullet"/>
      <w:lvlText w:val="o"/>
      <w:lvlJc w:val="left"/>
      <w:pPr>
        <w:tabs>
          <w:tab w:val="num" w:pos="0"/>
        </w:tabs>
        <w:ind w:left="5762" w:hanging="360"/>
      </w:pPr>
      <w:rPr>
        <w:rFonts w:ascii="Courier New" w:hAnsi="Courier New" w:cs="Courier New" w:hint="default"/>
      </w:rPr>
    </w:lvl>
    <w:lvl w:ilvl="8">
      <w:start w:val="1"/>
      <w:numFmt w:val="bullet"/>
      <w:lvlText w:val=""/>
      <w:lvlJc w:val="left"/>
      <w:pPr>
        <w:tabs>
          <w:tab w:val="num" w:pos="0"/>
        </w:tabs>
        <w:ind w:left="6482" w:hanging="360"/>
      </w:pPr>
      <w:rPr>
        <w:rFonts w:ascii="Wingdings" w:hAnsi="Wingdings" w:cs="Wingdings" w:hint="default"/>
      </w:rPr>
    </w:lvl>
  </w:abstractNum>
  <w:abstractNum w:abstractNumId="38">
    <w:lvl w:ilvl="0">
      <w:start w:val="1"/>
      <w:numFmt w:val="decimal"/>
      <w:lvlText w:val="%1."/>
      <w:lvlJc w:val="left"/>
      <w:pPr>
        <w:tabs>
          <w:tab w:val="num" w:pos="0"/>
        </w:tabs>
        <w:ind w:left="785" w:hanging="360"/>
      </w:pPr>
    </w:lvl>
    <w:lvl w:ilvl="1">
      <w:start w:val="1"/>
      <w:numFmt w:val="lowerLetter"/>
      <w:lvlText w:val="%2."/>
      <w:lvlJc w:val="left"/>
      <w:pPr>
        <w:tabs>
          <w:tab w:val="num" w:pos="0"/>
        </w:tabs>
        <w:ind w:left="1505" w:hanging="360"/>
      </w:pPr>
    </w:lvl>
    <w:lvl w:ilvl="2">
      <w:start w:val="1"/>
      <w:numFmt w:val="lowerRoman"/>
      <w:lvlText w:val="%3."/>
      <w:lvlJc w:val="right"/>
      <w:pPr>
        <w:tabs>
          <w:tab w:val="num" w:pos="0"/>
        </w:tabs>
        <w:ind w:left="2225" w:hanging="180"/>
      </w:pPr>
    </w:lvl>
    <w:lvl w:ilvl="3">
      <w:start w:val="1"/>
      <w:numFmt w:val="decimal"/>
      <w:lvlText w:val="%4."/>
      <w:lvlJc w:val="left"/>
      <w:pPr>
        <w:tabs>
          <w:tab w:val="num" w:pos="0"/>
        </w:tabs>
        <w:ind w:left="2945" w:hanging="360"/>
      </w:pPr>
    </w:lvl>
    <w:lvl w:ilvl="4">
      <w:start w:val="1"/>
      <w:numFmt w:val="lowerLetter"/>
      <w:lvlText w:val="%5."/>
      <w:lvlJc w:val="left"/>
      <w:pPr>
        <w:tabs>
          <w:tab w:val="num" w:pos="0"/>
        </w:tabs>
        <w:ind w:left="3665" w:hanging="360"/>
      </w:pPr>
    </w:lvl>
    <w:lvl w:ilvl="5">
      <w:start w:val="1"/>
      <w:numFmt w:val="lowerRoman"/>
      <w:lvlText w:val="%6."/>
      <w:lvlJc w:val="right"/>
      <w:pPr>
        <w:tabs>
          <w:tab w:val="num" w:pos="0"/>
        </w:tabs>
        <w:ind w:left="4385" w:hanging="180"/>
      </w:pPr>
    </w:lvl>
    <w:lvl w:ilvl="6">
      <w:start w:val="1"/>
      <w:numFmt w:val="decimal"/>
      <w:lvlText w:val="%7."/>
      <w:lvlJc w:val="left"/>
      <w:pPr>
        <w:tabs>
          <w:tab w:val="num" w:pos="0"/>
        </w:tabs>
        <w:ind w:left="5105" w:hanging="360"/>
      </w:pPr>
    </w:lvl>
    <w:lvl w:ilvl="7">
      <w:start w:val="1"/>
      <w:numFmt w:val="lowerLetter"/>
      <w:lvlText w:val="%8."/>
      <w:lvlJc w:val="left"/>
      <w:pPr>
        <w:tabs>
          <w:tab w:val="num" w:pos="0"/>
        </w:tabs>
        <w:ind w:left="5825" w:hanging="360"/>
      </w:pPr>
    </w:lvl>
    <w:lvl w:ilvl="8">
      <w:start w:val="1"/>
      <w:numFmt w:val="lowerRoman"/>
      <w:lvlText w:val="%9."/>
      <w:lvlJc w:val="right"/>
      <w:pPr>
        <w:tabs>
          <w:tab w:val="num" w:pos="0"/>
        </w:tabs>
        <w:ind w:left="6545" w:hanging="180"/>
      </w:pPr>
    </w:lvl>
  </w:abstractNum>
  <w:abstractNum w:abstractNumId="39">
    <w:lvl w:ilvl="0">
      <w:start w:val="2"/>
      <w:numFmt w:val="decimal"/>
      <w:lvlText w:val="%1."/>
      <w:lvlJc w:val="left"/>
      <w:pPr>
        <w:tabs>
          <w:tab w:val="num" w:pos="0"/>
        </w:tabs>
        <w:ind w:left="380" w:hanging="380"/>
      </w:pPr>
    </w:lvl>
    <w:lvl w:ilvl="1">
      <w:start w:val="4"/>
      <w:numFmt w:val="decimal"/>
      <w:lvlText w:val="%1.%2."/>
      <w:lvlJc w:val="left"/>
      <w:pPr>
        <w:tabs>
          <w:tab w:val="num" w:pos="0"/>
        </w:tabs>
        <w:ind w:left="1287" w:hanging="720"/>
      </w:pPr>
    </w:lvl>
    <w:lvl w:ilvl="2">
      <w:start w:val="1"/>
      <w:numFmt w:val="decimal"/>
      <w:lvlText w:val="%1.%2.%3."/>
      <w:lvlJc w:val="left"/>
      <w:pPr>
        <w:tabs>
          <w:tab w:val="num" w:pos="0"/>
        </w:tabs>
        <w:ind w:left="1854" w:hanging="720"/>
      </w:pPr>
    </w:lvl>
    <w:lvl w:ilvl="3">
      <w:start w:val="1"/>
      <w:numFmt w:val="decimal"/>
      <w:lvlText w:val="%1.%2.%3.%4."/>
      <w:lvlJc w:val="left"/>
      <w:pPr>
        <w:tabs>
          <w:tab w:val="num" w:pos="0"/>
        </w:tabs>
        <w:ind w:left="2781" w:hanging="1080"/>
      </w:pPr>
    </w:lvl>
    <w:lvl w:ilvl="4">
      <w:start w:val="1"/>
      <w:numFmt w:val="decimal"/>
      <w:lvlText w:val="%1.%2.%3.%4.%5."/>
      <w:lvlJc w:val="left"/>
      <w:pPr>
        <w:tabs>
          <w:tab w:val="num" w:pos="0"/>
        </w:tabs>
        <w:ind w:left="3348" w:hanging="1080"/>
      </w:pPr>
    </w:lvl>
    <w:lvl w:ilvl="5">
      <w:start w:val="1"/>
      <w:numFmt w:val="decimal"/>
      <w:lvlText w:val="%1.%2.%3.%4.%5.%6."/>
      <w:lvlJc w:val="left"/>
      <w:pPr>
        <w:tabs>
          <w:tab w:val="num" w:pos="0"/>
        </w:tabs>
        <w:ind w:left="4275" w:hanging="1440"/>
      </w:pPr>
    </w:lvl>
    <w:lvl w:ilvl="6">
      <w:start w:val="1"/>
      <w:numFmt w:val="decimal"/>
      <w:lvlText w:val="%1.%2.%3.%4.%5.%6.%7."/>
      <w:lvlJc w:val="left"/>
      <w:pPr>
        <w:tabs>
          <w:tab w:val="num" w:pos="0"/>
        </w:tabs>
        <w:ind w:left="4842" w:hanging="1440"/>
      </w:pPr>
    </w:lvl>
    <w:lvl w:ilvl="7">
      <w:start w:val="1"/>
      <w:numFmt w:val="decimal"/>
      <w:lvlText w:val="%1.%2.%3.%4.%5.%6.%7.%8."/>
      <w:lvlJc w:val="left"/>
      <w:pPr>
        <w:tabs>
          <w:tab w:val="num" w:pos="0"/>
        </w:tabs>
        <w:ind w:left="5769" w:hanging="1800"/>
      </w:pPr>
    </w:lvl>
    <w:lvl w:ilvl="8">
      <w:start w:val="1"/>
      <w:numFmt w:val="decimal"/>
      <w:lvlText w:val="%1.%2.%3.%4.%5.%6.%7.%8.%9."/>
      <w:lvlJc w:val="left"/>
      <w:pPr>
        <w:tabs>
          <w:tab w:val="num" w:pos="0"/>
        </w:tabs>
        <w:ind w:left="6336" w:hanging="1800"/>
      </w:pPr>
    </w:lvl>
  </w:abstractNum>
  <w:abstractNum w:abstractNumId="40">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7"/>
    <w:lvlOverride w:ilvl="0">
      <w:startOverride w:val="1"/>
    </w:lvlOverride>
  </w:num>
</w:numbering>
</file>

<file path=word/settings.xml><?xml version="1.0" encoding="utf-8"?>
<w:settings xmlns:w="http://schemas.openxmlformats.org/wordprocessingml/2006/main">
  <w:zoom w:percent="100"/>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hyphenationZone w:val="425"/>
  <w:themeFontLang w:val="fr-F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 w:cs="" w:asciiTheme="minorHAnsi" w:cstheme="minorBidi" w:eastAsiaTheme="minorEastAsia" w:hAnsiTheme="minorHAnsi"/>
        <w:sz w:val="22"/>
        <w:szCs w:val="22"/>
        <w:lang w:val="fr-FR" w:eastAsia="fr-FR"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iPriority="0"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aa337b"/>
    <w:pPr>
      <w:widowControl/>
      <w:bidi w:val="0"/>
      <w:spacing w:lineRule="auto" w:line="266" w:before="0" w:after="149"/>
      <w:ind w:left="31" w:hanging="10"/>
      <w:jc w:val="left"/>
    </w:pPr>
    <w:rPr>
      <w:rFonts w:ascii="Garamond" w:hAnsi="Garamond" w:eastAsia="Garamond" w:cs="Garamond"/>
      <w:color w:val="000000"/>
      <w:kern w:val="0"/>
      <w:sz w:val="24"/>
      <w:szCs w:val="22"/>
      <w:lang w:val="fr-FR" w:eastAsia="fr-FR" w:bidi="ar-SA"/>
    </w:rPr>
  </w:style>
  <w:style w:type="paragraph" w:styleId="Titre1">
    <w:name w:val="Heading 1"/>
    <w:next w:val="Normal"/>
    <w:link w:val="Titre1Car"/>
    <w:uiPriority w:val="9"/>
    <w:qFormat/>
    <w:pPr>
      <w:keepNext w:val="true"/>
      <w:keepLines/>
      <w:widowControl/>
      <w:bidi w:val="0"/>
      <w:spacing w:lineRule="auto" w:line="264" w:before="0" w:after="3"/>
      <w:ind w:left="10" w:right="120" w:hanging="10"/>
      <w:jc w:val="right"/>
      <w:outlineLvl w:val="0"/>
    </w:pPr>
    <w:rPr>
      <w:rFonts w:ascii="Calibri" w:hAnsi="Calibri" w:eastAsia="Calibri" w:cs="Calibri"/>
      <w:color w:val="000000"/>
      <w:kern w:val="0"/>
      <w:sz w:val="48"/>
      <w:szCs w:val="22"/>
      <w:lang w:val="fr-FR" w:eastAsia="fr-FR" w:bidi="ar-SA"/>
    </w:rPr>
  </w:style>
  <w:style w:type="paragraph" w:styleId="Titre2">
    <w:name w:val="Heading 2"/>
    <w:next w:val="Normal"/>
    <w:link w:val="Titre2Car"/>
    <w:uiPriority w:val="9"/>
    <w:unhideWhenUsed/>
    <w:qFormat/>
    <w:pPr>
      <w:keepNext w:val="true"/>
      <w:keepLines/>
      <w:widowControl/>
      <w:bidi w:val="0"/>
      <w:spacing w:lineRule="auto" w:line="256" w:before="0" w:after="91"/>
      <w:ind w:left="10" w:right="936" w:hanging="10"/>
      <w:jc w:val="left"/>
      <w:outlineLvl w:val="1"/>
    </w:pPr>
    <w:rPr>
      <w:rFonts w:ascii="Garamond" w:hAnsi="Garamond" w:eastAsia="Garamond" w:cs="Garamond"/>
      <w:b/>
      <w:color w:val="000000"/>
      <w:kern w:val="0"/>
      <w:sz w:val="32"/>
      <w:szCs w:val="22"/>
      <w:u w:val="single" w:color="000000"/>
      <w:lang w:val="fr-FR" w:eastAsia="fr-FR" w:bidi="ar-SA"/>
    </w:rPr>
  </w:style>
  <w:style w:type="paragraph" w:styleId="Titre3">
    <w:name w:val="Heading 3"/>
    <w:next w:val="Normal"/>
    <w:link w:val="Titre3Car"/>
    <w:uiPriority w:val="9"/>
    <w:unhideWhenUsed/>
    <w:qFormat/>
    <w:pPr>
      <w:keepNext w:val="true"/>
      <w:keepLines/>
      <w:widowControl/>
      <w:bidi w:val="0"/>
      <w:spacing w:lineRule="auto" w:line="259" w:before="0" w:after="124"/>
      <w:ind w:left="10" w:right="929" w:hanging="10"/>
      <w:jc w:val="left"/>
      <w:outlineLvl w:val="2"/>
    </w:pPr>
    <w:rPr>
      <w:rFonts w:ascii="Garamond" w:hAnsi="Garamond" w:eastAsia="Garamond" w:cs="Garamond"/>
      <w:b/>
      <w:color w:val="000000"/>
      <w:kern w:val="0"/>
      <w:sz w:val="28"/>
      <w:szCs w:val="22"/>
      <w:u w:val="single" w:color="000000"/>
      <w:lang w:val="fr-FR" w:eastAsia="fr-FR" w:bidi="ar-SA"/>
    </w:rPr>
  </w:style>
  <w:style w:type="paragraph" w:styleId="Titre4">
    <w:name w:val="Heading 4"/>
    <w:basedOn w:val="Normal"/>
    <w:next w:val="Normal"/>
    <w:link w:val="Titre4Car"/>
    <w:uiPriority w:val="9"/>
    <w:unhideWhenUsed/>
    <w:qFormat/>
    <w:rsid w:val="00f0476e"/>
    <w:pPr>
      <w:keepNext w:val="true"/>
      <w:keepLines/>
      <w:spacing w:before="40" w:after="0"/>
      <w:outlineLvl w:val="3"/>
    </w:pPr>
    <w:rPr>
      <w:rFonts w:ascii="Calibri Light" w:hAnsi="Calibri Light" w:eastAsia="" w:cs="" w:asciiTheme="majorHAnsi" w:cstheme="majorBidi" w:eastAsiaTheme="majorEastAsia" w:hAnsiTheme="majorHAnsi"/>
      <w:i/>
      <w:iCs/>
      <w:color w:val="2F5496" w:themeColor="accent1" w:themeShade="bf"/>
    </w:rPr>
  </w:style>
  <w:style w:type="character" w:styleId="DefaultParagraphFont" w:default="1">
    <w:name w:val="Default Paragraph Font"/>
    <w:uiPriority w:val="1"/>
    <w:semiHidden/>
    <w:unhideWhenUsed/>
    <w:qFormat/>
    <w:rPr/>
  </w:style>
  <w:style w:type="character" w:styleId="Titre2Car" w:customStyle="1">
    <w:name w:val="Titre 2 Car"/>
    <w:link w:val="Titre2"/>
    <w:qFormat/>
    <w:rPr>
      <w:rFonts w:ascii="Garamond" w:hAnsi="Garamond" w:eastAsia="Garamond" w:cs="Garamond"/>
      <w:b/>
      <w:color w:val="000000"/>
      <w:sz w:val="32"/>
      <w:u w:val="single" w:color="000000"/>
    </w:rPr>
  </w:style>
  <w:style w:type="character" w:styleId="Titre1Car" w:customStyle="1">
    <w:name w:val="Titre 1 Car"/>
    <w:link w:val="Titre1"/>
    <w:qFormat/>
    <w:rPr>
      <w:rFonts w:ascii="Calibri" w:hAnsi="Calibri" w:eastAsia="Calibri" w:cs="Calibri"/>
      <w:color w:val="000000"/>
      <w:sz w:val="48"/>
    </w:rPr>
  </w:style>
  <w:style w:type="character" w:styleId="Titre3Car" w:customStyle="1">
    <w:name w:val="Titre 3 Car"/>
    <w:link w:val="Titre3"/>
    <w:qFormat/>
    <w:rPr>
      <w:rFonts w:ascii="Garamond" w:hAnsi="Garamond" w:eastAsia="Garamond" w:cs="Garamond"/>
      <w:b/>
      <w:color w:val="000000"/>
      <w:sz w:val="28"/>
      <w:u w:val="single" w:color="000000"/>
    </w:rPr>
  </w:style>
  <w:style w:type="character" w:styleId="LienInternet">
    <w:name w:val="Lien Internet"/>
    <w:basedOn w:val="DefaultParagraphFont"/>
    <w:uiPriority w:val="99"/>
    <w:unhideWhenUsed/>
    <w:rPr>
      <w:color w:val="0563C1" w:themeColor="hyperlink"/>
      <w:u w:val="single"/>
    </w:rPr>
  </w:style>
  <w:style w:type="character" w:styleId="UnresolvedMention">
    <w:name w:val="Unresolved Mention"/>
    <w:basedOn w:val="DefaultParagraphFont"/>
    <w:uiPriority w:val="99"/>
    <w:semiHidden/>
    <w:unhideWhenUsed/>
    <w:qFormat/>
    <w:rPr>
      <w:color w:val="605E5C"/>
      <w:shd w:fill="E1DFDD" w:val="clear"/>
    </w:rPr>
  </w:style>
  <w:style w:type="character" w:styleId="PieddepageCar" w:customStyle="1">
    <w:name w:val="Pied de page Car"/>
    <w:basedOn w:val="DefaultParagraphFont"/>
    <w:link w:val="Pieddepage"/>
    <w:uiPriority w:val="99"/>
    <w:qFormat/>
    <w:rsid w:val="001a0c28"/>
    <w:rPr>
      <w:rFonts w:ascii="Garamond" w:hAnsi="Garamond" w:eastAsia="Garamond" w:cs="Garamond"/>
      <w:color w:val="000000"/>
      <w:sz w:val="24"/>
    </w:rPr>
  </w:style>
  <w:style w:type="character" w:styleId="EntteCar" w:customStyle="1">
    <w:name w:val="En-tête Car"/>
    <w:basedOn w:val="DefaultParagraphFont"/>
    <w:link w:val="En-tte"/>
    <w:uiPriority w:val="99"/>
    <w:qFormat/>
    <w:rsid w:val="00f0476e"/>
    <w:rPr>
      <w:lang w:eastAsia="zh-CN"/>
    </w:rPr>
  </w:style>
  <w:style w:type="character" w:styleId="Titre4Car" w:customStyle="1">
    <w:name w:val="Titre 4 Car"/>
    <w:basedOn w:val="DefaultParagraphFont"/>
    <w:link w:val="Titre4"/>
    <w:uiPriority w:val="9"/>
    <w:qFormat/>
    <w:rsid w:val="00f0476e"/>
    <w:rPr>
      <w:rFonts w:ascii="Calibri Light" w:hAnsi="Calibri Light" w:eastAsia="" w:cs="" w:asciiTheme="majorHAnsi" w:cstheme="majorBidi" w:eastAsiaTheme="majorEastAsia" w:hAnsiTheme="majorHAnsi"/>
      <w:i/>
      <w:iCs/>
      <w:color w:val="2F5496" w:themeColor="accent1" w:themeShade="bf"/>
      <w:sz w:val="24"/>
    </w:rPr>
  </w:style>
  <w:style w:type="character" w:styleId="Pagenumber">
    <w:name w:val="page number"/>
    <w:basedOn w:val="DefaultParagraphFont"/>
    <w:uiPriority w:val="99"/>
    <w:semiHidden/>
    <w:unhideWhenUsed/>
    <w:qFormat/>
    <w:rsid w:val="00324b1b"/>
    <w:rPr/>
  </w:style>
  <w:style w:type="character" w:styleId="Corpsdetexte3Car" w:customStyle="1">
    <w:name w:val="Corps de texte 3 Car"/>
    <w:basedOn w:val="DefaultParagraphFont"/>
    <w:link w:val="Corpsdetexte3"/>
    <w:qFormat/>
    <w:rsid w:val="00863a05"/>
    <w:rPr>
      <w:rFonts w:ascii="Tahoma" w:hAnsi="Tahoma" w:eastAsia="Times New Roman" w:cs="Arial"/>
      <w:bCs/>
      <w:szCs w:val="20"/>
      <w:lang w:val="x-none" w:eastAsia="x-none"/>
    </w:rPr>
  </w:style>
  <w:style w:type="character" w:styleId="ParagraphedelisteCar" w:customStyle="1">
    <w:name w:val="Paragraphe de liste Car"/>
    <w:basedOn w:val="DefaultParagraphFont"/>
    <w:link w:val="Paragraphedeliste"/>
    <w:uiPriority w:val="34"/>
    <w:qFormat/>
    <w:rsid w:val="00cc25b3"/>
    <w:rPr>
      <w:rFonts w:ascii="Garamond" w:hAnsi="Garamond" w:eastAsia="Garamond" w:cs="Garamond"/>
      <w:color w:val="000000"/>
      <w:sz w:val="24"/>
    </w:rPr>
  </w:style>
  <w:style w:type="paragraph" w:styleId="Titre">
    <w:name w:val="Titre"/>
    <w:basedOn w:val="Normal"/>
    <w:next w:val="Corpsdetexte"/>
    <w:qFormat/>
    <w:pPr>
      <w:keepNext w:val="true"/>
      <w:spacing w:before="240" w:after="120"/>
    </w:pPr>
    <w:rPr>
      <w:rFonts w:ascii="Marianne" w:hAnsi="Marianne" w:eastAsia="Microsoft YaHei" w:cs="Arial"/>
      <w:sz w:val="28"/>
      <w:szCs w:val="28"/>
    </w:rPr>
  </w:style>
  <w:style w:type="paragraph" w:styleId="Corpsdetexte">
    <w:name w:val="Body Text"/>
    <w:basedOn w:val="Normal"/>
    <w:pPr>
      <w:spacing w:lineRule="auto" w:line="276" w:before="0" w:after="140"/>
    </w:pPr>
    <w:rPr/>
  </w:style>
  <w:style w:type="paragraph" w:styleId="Liste">
    <w:name w:val="List"/>
    <w:basedOn w:val="Corpsdetexte"/>
    <w:pPr/>
    <w:rPr>
      <w:rFonts w:ascii="Marianne" w:hAnsi="Marianne" w:cs="Arial"/>
    </w:rPr>
  </w:style>
  <w:style w:type="paragraph" w:styleId="Lgende">
    <w:name w:val="Caption"/>
    <w:basedOn w:val="Normal"/>
    <w:qFormat/>
    <w:pPr>
      <w:suppressLineNumbers/>
      <w:spacing w:before="120" w:after="120"/>
    </w:pPr>
    <w:rPr>
      <w:rFonts w:ascii="Marianne" w:hAnsi="Marianne" w:cs="Arial"/>
      <w:i/>
      <w:iCs/>
      <w:sz w:val="24"/>
      <w:szCs w:val="24"/>
    </w:rPr>
  </w:style>
  <w:style w:type="paragraph" w:styleId="Index">
    <w:name w:val="Index"/>
    <w:basedOn w:val="Normal"/>
    <w:qFormat/>
    <w:pPr>
      <w:suppressLineNumbers/>
    </w:pPr>
    <w:rPr>
      <w:rFonts w:ascii="Marianne" w:hAnsi="Marianne" w:cs="Arial"/>
    </w:rPr>
  </w:style>
  <w:style w:type="paragraph" w:styleId="ListParagraph">
    <w:name w:val="List Paragraph"/>
    <w:basedOn w:val="Normal"/>
    <w:link w:val="ParagraphedelisteCar"/>
    <w:uiPriority w:val="34"/>
    <w:qFormat/>
    <w:rsid w:val="00cf27fe"/>
    <w:pPr>
      <w:spacing w:before="0" w:after="149"/>
      <w:ind w:left="720" w:hanging="10"/>
      <w:contextualSpacing/>
    </w:pPr>
    <w:rPr/>
  </w:style>
  <w:style w:type="paragraph" w:styleId="NormalWeb">
    <w:name w:val="Normal (Web)"/>
    <w:basedOn w:val="Normal"/>
    <w:uiPriority w:val="99"/>
    <w:unhideWhenUsed/>
    <w:qFormat/>
    <w:rsid w:val="00241f21"/>
    <w:pPr>
      <w:spacing w:lineRule="auto" w:line="240" w:beforeAutospacing="1" w:afterAutospacing="1"/>
      <w:ind w:left="0" w:hanging="0"/>
    </w:pPr>
    <w:rPr>
      <w:rFonts w:ascii="Times New Roman" w:hAnsi="Times New Roman" w:eastAsia="Times New Roman" w:cs="Times New Roman"/>
      <w:color w:val="auto"/>
      <w:szCs w:val="24"/>
    </w:rPr>
  </w:style>
  <w:style w:type="paragraph" w:styleId="Entteetpieddepage">
    <w:name w:val="En-tête et pied de page"/>
    <w:basedOn w:val="Normal"/>
    <w:qFormat/>
    <w:pPr/>
    <w:rPr/>
  </w:style>
  <w:style w:type="paragraph" w:styleId="Pieddepage">
    <w:name w:val="Footer"/>
    <w:basedOn w:val="Normal"/>
    <w:link w:val="PieddepageCar"/>
    <w:uiPriority w:val="99"/>
    <w:unhideWhenUsed/>
    <w:rsid w:val="001a0c28"/>
    <w:pPr>
      <w:tabs>
        <w:tab w:val="clear" w:pos="708"/>
        <w:tab w:val="center" w:pos="4536" w:leader="none"/>
        <w:tab w:val="right" w:pos="9072" w:leader="none"/>
      </w:tabs>
      <w:spacing w:lineRule="auto" w:line="240" w:before="0" w:after="0"/>
    </w:pPr>
    <w:rPr/>
  </w:style>
  <w:style w:type="paragraph" w:styleId="Entte">
    <w:name w:val="Header"/>
    <w:basedOn w:val="Normal"/>
    <w:link w:val="En-tteCar"/>
    <w:uiPriority w:val="99"/>
    <w:unhideWhenUsed/>
    <w:rsid w:val="00f0476e"/>
    <w:pPr>
      <w:tabs>
        <w:tab w:val="clear" w:pos="708"/>
        <w:tab w:val="center" w:pos="4680" w:leader="none"/>
        <w:tab w:val="right" w:pos="9360" w:leader="none"/>
      </w:tabs>
      <w:spacing w:lineRule="auto" w:line="240" w:before="0" w:after="0"/>
      <w:ind w:left="0" w:hanging="0"/>
    </w:pPr>
    <w:rPr>
      <w:rFonts w:ascii="Calibri" w:hAnsi="Calibri" w:eastAsia="" w:cs="" w:asciiTheme="minorHAnsi" w:cstheme="minorBidi" w:eastAsiaTheme="minorEastAsia" w:hAnsiTheme="minorHAnsi"/>
      <w:color w:val="auto"/>
      <w:sz w:val="22"/>
      <w:lang w:eastAsia="zh-CN"/>
    </w:rPr>
  </w:style>
  <w:style w:type="paragraph" w:styleId="BodyText3">
    <w:name w:val="Body Text 3"/>
    <w:basedOn w:val="Normal"/>
    <w:link w:val="Corpsdetexte3Car"/>
    <w:qFormat/>
    <w:rsid w:val="00863a05"/>
    <w:pPr>
      <w:spacing w:lineRule="auto" w:line="240" w:before="0" w:after="0"/>
      <w:ind w:left="0" w:hanging="0"/>
      <w:jc w:val="both"/>
    </w:pPr>
    <w:rPr>
      <w:rFonts w:ascii="Tahoma" w:hAnsi="Tahoma" w:eastAsia="Times New Roman" w:cs="Arial"/>
      <w:bCs/>
      <w:color w:val="auto"/>
      <w:sz w:val="22"/>
      <w:szCs w:val="20"/>
      <w:lang w:val="x-none" w:eastAsia="x-none"/>
    </w:rPr>
  </w:style>
  <w:style w:type="paragraph" w:styleId="Contenudecadre">
    <w:name w:val="Contenu de cadre"/>
    <w:basedOn w:val="Normal"/>
    <w:qFormat/>
    <w:pPr/>
    <w:rPr/>
  </w:style>
  <w:style w:type="numbering" w:styleId="NoList" w:default="1">
    <w:name w:val="No List"/>
    <w:uiPriority w:val="99"/>
    <w:semiHidden/>
    <w:unhideWhenUsed/>
    <w:qFormat/>
  </w:style>
  <w:style w:type="table" w:default="1" w:styleId="TableauNormal">
    <w:name w:val="Normal Table"/>
    <w:uiPriority w:val="99"/>
    <w:semiHidden/>
    <w:unhideWhenUsed/>
    <w:tblPr>
      <w:tblCellMar>
        <w:top w:w="0" w:type="dxa"/>
        <w:left w:w="108" w:type="dxa"/>
        <w:bottom w:w="0" w:type="dxa"/>
        <w:right w:w="108" w:type="dxa"/>
      </w:tblCellMar>
    </w:tblPr>
  </w:style>
  <w:style w:type="table" w:customStyle="1" w:styleId="TableGrid">
    <w:name w:val="TableGrid"/>
    <w:pPr>
      <w:spacing w:after="0" w:line="240" w:lineRule="auto"/>
    </w:pPr>
    <w:tblPr>
      <w:tblCellMar>
        <w:top w:w="0" w:type="dxa"/>
        <w:left w:w="0" w:type="dxa"/>
        <w:bottom w:w="0" w:type="dxa"/>
        <w:right w:w="0" w:type="dxa"/>
      </w:tblCellMar>
    </w:tblPr>
  </w:style>
  <w:style w:type="table" w:styleId="Grilledutableau">
    <w:name w:val="Table Grid"/>
    <w:basedOn w:val="TableauNormal"/>
    <w:uiPriority w:val="39"/>
    <w:rsid w:val="00e15279"/>
    <w:pPr>
      <w:spacing w:after="0" w:line="240" w:lineRule="auto"/>
    </w:pPr>
    <w:rPr>
      <w:rFonts w:eastAsiaTheme="minorHAnsi"/>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eader" Target="header1.xml"/><Relationship Id="rId4" Type="http://schemas.openxmlformats.org/officeDocument/2006/relationships/header" Target="header2.xml"/><Relationship Id="rId5" Type="http://schemas.openxmlformats.org/officeDocument/2006/relationships/footer" Target="footer1.xml"/><Relationship Id="rId6" Type="http://schemas.openxmlformats.org/officeDocument/2006/relationships/footer" Target="footer2.xml"/><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jpe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jpeg"/><Relationship Id="rId16" Type="http://schemas.openxmlformats.org/officeDocument/2006/relationships/image" Target="media/image11.png"/><Relationship Id="rId17" Type="http://schemas.openxmlformats.org/officeDocument/2006/relationships/image" Target="media/image12.jpeg"/><Relationship Id="rId18" Type="http://schemas.openxmlformats.org/officeDocument/2006/relationships/image" Target="media/image13.png"/><Relationship Id="rId19" Type="http://schemas.openxmlformats.org/officeDocument/2006/relationships/image" Target="media/image14.png"/><Relationship Id="rId20" Type="http://schemas.openxmlformats.org/officeDocument/2006/relationships/image" Target="media/image15.wmf"/><Relationship Id="rId21" Type="http://schemas.openxmlformats.org/officeDocument/2006/relationships/image" Target="media/image16.wmf"/><Relationship Id="rId22" Type="http://schemas.openxmlformats.org/officeDocument/2006/relationships/image" Target="media/image17.wmf"/><Relationship Id="rId23" Type="http://schemas.openxmlformats.org/officeDocument/2006/relationships/image" Target="media/image18.wmf"/><Relationship Id="rId24" Type="http://schemas.openxmlformats.org/officeDocument/2006/relationships/image" Target="media/image19.wmf"/><Relationship Id="rId25" Type="http://schemas.openxmlformats.org/officeDocument/2006/relationships/image" Target="media/image20.jpeg"/><Relationship Id="rId26" Type="http://schemas.openxmlformats.org/officeDocument/2006/relationships/image" Target="media/image21.jpeg"/><Relationship Id="rId27" Type="http://schemas.openxmlformats.org/officeDocument/2006/relationships/image" Target="media/image22.jpeg"/><Relationship Id="rId28" Type="http://schemas.openxmlformats.org/officeDocument/2006/relationships/image" Target="media/image23.jpeg"/><Relationship Id="rId29" Type="http://schemas.openxmlformats.org/officeDocument/2006/relationships/image" Target="media/image24.png"/><Relationship Id="rId30" Type="http://schemas.openxmlformats.org/officeDocument/2006/relationships/header" Target="header3.xml"/><Relationship Id="rId31" Type="http://schemas.openxmlformats.org/officeDocument/2006/relationships/header" Target="header4.xml"/><Relationship Id="rId32" Type="http://schemas.openxmlformats.org/officeDocument/2006/relationships/footer" Target="footer3.xml"/><Relationship Id="rId33" Type="http://schemas.openxmlformats.org/officeDocument/2006/relationships/footer" Target="footer4.xml"/><Relationship Id="rId34" Type="http://schemas.openxmlformats.org/officeDocument/2006/relationships/numbering" Target="numbering.xml"/><Relationship Id="rId35" Type="http://schemas.openxmlformats.org/officeDocument/2006/relationships/fontTable" Target="fontTable.xml"/><Relationship Id="rId36" Type="http://schemas.openxmlformats.org/officeDocument/2006/relationships/settings" Target="settings.xml"/><Relationship Id="rId37" Type="http://schemas.openxmlformats.org/officeDocument/2006/relationships/theme" Target="theme/theme1.xml"/><Relationship Id="rId38" Type="http://schemas.openxmlformats.org/officeDocument/2006/relationships/customXml" Target="../customXml/item1.xml"/>
</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0D6800-989E-46A2-A77B-C352212F5E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Application>LibreOffice/7.1.8.1$Windows_X86_64 LibreOffice_project/e1f30c802c3269a1d052614453f260e49458c82c</Application>
  <AppVersion>15.0000</AppVersion>
  <Pages>50</Pages>
  <Words>13804</Words>
  <Characters>72617</Characters>
  <CharactersWithSpaces>86569</CharactersWithSpaces>
  <Paragraphs>671</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2024-03-15T09:03:25Z</dcterms:created>
  <dc:creator/>
  <dc:description/>
  <dc:language>fr-FR</dc:language>
  <cp:lastModifiedBy/>
  <cp:revision>1</cp:revision>
  <dc:subject/>
  <dc:title/>
</cp:coreProperties>
</file>

<file path=docProps/custom.xml><?xml version="1.0" encoding="utf-8"?>
<Properties xmlns="http://schemas.openxmlformats.org/officeDocument/2006/custom-properties" xmlns:vt="http://schemas.openxmlformats.org/officeDocument/2006/docPropsVTypes"/>
</file>